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24A3AD" w14:textId="77777777" w:rsidR="00A74F19" w:rsidRPr="00366CC6" w:rsidRDefault="00A74F19" w:rsidP="00A74F19">
      <w:pPr>
        <w:jc w:val="center"/>
        <w:rPr>
          <w:rFonts w:ascii="Verdana" w:eastAsia="Verdana" w:hAnsi="Verdana" w:cs="Calibri Light"/>
          <w:b/>
          <w:bCs/>
          <w:sz w:val="22"/>
          <w:szCs w:val="22"/>
        </w:rPr>
      </w:pPr>
      <w:r w:rsidRPr="00366CC6">
        <w:rPr>
          <w:rFonts w:ascii="Verdana" w:eastAsia="Verdana" w:hAnsi="Verdana" w:cs="Calibri Light"/>
          <w:b/>
          <w:bCs/>
          <w:sz w:val="22"/>
          <w:szCs w:val="22"/>
        </w:rPr>
        <w:t>FILARMÔNICA DE MINAS GERAIS:</w:t>
      </w:r>
    </w:p>
    <w:p w14:paraId="6EA7F5BE" w14:textId="77777777" w:rsidR="00A74F19" w:rsidRPr="00366CC6" w:rsidRDefault="00A74F19" w:rsidP="00A74F19">
      <w:pPr>
        <w:jc w:val="center"/>
        <w:rPr>
          <w:rFonts w:ascii="Verdana" w:eastAsia="Verdana" w:hAnsi="Verdana" w:cs="Calibri Light"/>
          <w:b/>
          <w:bCs/>
          <w:sz w:val="22"/>
          <w:szCs w:val="22"/>
        </w:rPr>
      </w:pPr>
      <w:r w:rsidRPr="00366CC6">
        <w:rPr>
          <w:rFonts w:ascii="Verdana" w:eastAsia="Verdana" w:hAnsi="Verdana" w:cs="Calibri Light"/>
          <w:b/>
          <w:bCs/>
          <w:sz w:val="22"/>
          <w:szCs w:val="22"/>
        </w:rPr>
        <w:t>SEGUNDA CHANCE PARA SE TORNAR ASSINANTE</w:t>
      </w:r>
    </w:p>
    <w:p w14:paraId="3C8B6852" w14:textId="77777777" w:rsidR="00A74F19" w:rsidRPr="00366CC6" w:rsidRDefault="00A74F19" w:rsidP="00A74F19">
      <w:pPr>
        <w:jc w:val="center"/>
        <w:rPr>
          <w:rFonts w:ascii="Verdana" w:eastAsia="Verdana" w:hAnsi="Verdana" w:cs="Calibri Light"/>
          <w:b/>
          <w:bCs/>
          <w:sz w:val="22"/>
          <w:szCs w:val="22"/>
        </w:rPr>
      </w:pPr>
    </w:p>
    <w:p w14:paraId="381D7A8C" w14:textId="77777777" w:rsidR="00A74F19" w:rsidRDefault="00A74F19" w:rsidP="00A74F19">
      <w:pPr>
        <w:jc w:val="both"/>
      </w:pPr>
      <w:r w:rsidRPr="00366CC6">
        <w:rPr>
          <w:rFonts w:ascii="Verdana" w:eastAsia="Verdana" w:hAnsi="Verdana" w:cs="Calibri Light"/>
          <w:sz w:val="22"/>
          <w:szCs w:val="22"/>
        </w:rPr>
        <w:t xml:space="preserve">A </w:t>
      </w:r>
      <w:r w:rsidRPr="00627017">
        <w:rPr>
          <w:rFonts w:ascii="Verdana" w:eastAsia="Verdana" w:hAnsi="Verdana" w:cs="Calibri Light"/>
          <w:b/>
          <w:bCs/>
          <w:sz w:val="22"/>
          <w:szCs w:val="22"/>
        </w:rPr>
        <w:t>Temporada 202</w:t>
      </w:r>
      <w:r>
        <w:rPr>
          <w:rFonts w:ascii="Verdana" w:eastAsia="Verdana" w:hAnsi="Verdana" w:cs="Calibri Light"/>
          <w:b/>
          <w:bCs/>
          <w:sz w:val="22"/>
          <w:szCs w:val="22"/>
        </w:rPr>
        <w:t>5</w:t>
      </w:r>
      <w:r w:rsidRPr="00627017">
        <w:rPr>
          <w:rFonts w:ascii="Verdana" w:eastAsia="Verdana" w:hAnsi="Verdana" w:cs="Calibri Light"/>
          <w:b/>
          <w:bCs/>
          <w:sz w:val="22"/>
          <w:szCs w:val="22"/>
        </w:rPr>
        <w:t xml:space="preserve"> da Filarmônica de Minas Gerais</w:t>
      </w:r>
      <w:r w:rsidRPr="00366CC6">
        <w:rPr>
          <w:rFonts w:ascii="Verdana" w:eastAsia="Verdana" w:hAnsi="Verdana" w:cs="Calibri Light"/>
          <w:sz w:val="22"/>
          <w:szCs w:val="22"/>
        </w:rPr>
        <w:t xml:space="preserve"> já </w:t>
      </w:r>
      <w:r w:rsidRPr="003A64FC">
        <w:rPr>
          <w:rFonts w:ascii="Verdana" w:eastAsia="Verdana" w:hAnsi="Verdana" w:cs="Calibri Light"/>
          <w:sz w:val="22"/>
          <w:szCs w:val="22"/>
        </w:rPr>
        <w:t>começou</w:t>
      </w:r>
      <w:r>
        <w:rPr>
          <w:rFonts w:ascii="Verdana" w:eastAsia="Verdana" w:hAnsi="Verdana" w:cs="Calibri Light"/>
          <w:sz w:val="22"/>
          <w:szCs w:val="22"/>
        </w:rPr>
        <w:t xml:space="preserve"> e está celebrando os</w:t>
      </w:r>
      <w:r w:rsidRPr="000B302D">
        <w:rPr>
          <w:rFonts w:ascii="Verdana" w:hAnsi="Verdana" w:cs="Calibri Light"/>
          <w:b/>
          <w:bCs/>
          <w:sz w:val="22"/>
          <w:szCs w:val="22"/>
        </w:rPr>
        <w:t xml:space="preserve"> 10 anos da Sala Minas Gerais</w:t>
      </w:r>
      <w:r w:rsidRPr="000B302D">
        <w:rPr>
          <w:rFonts w:ascii="Verdana" w:hAnsi="Verdana" w:cs="Calibri Light"/>
          <w:sz w:val="22"/>
          <w:szCs w:val="22"/>
        </w:rPr>
        <w:t xml:space="preserve">, sede da Orquestra e uma das mais importantes salas de concerto da América Latina. </w:t>
      </w:r>
      <w:r>
        <w:rPr>
          <w:rFonts w:ascii="Verdana" w:eastAsia="Verdana" w:hAnsi="Verdana" w:cs="Calibri Light"/>
          <w:sz w:val="22"/>
          <w:szCs w:val="22"/>
        </w:rPr>
        <w:t>P</w:t>
      </w:r>
      <w:r w:rsidRPr="003A64FC">
        <w:rPr>
          <w:rFonts w:ascii="Verdana" w:eastAsia="Verdana" w:hAnsi="Verdana" w:cs="Calibri Light"/>
          <w:sz w:val="22"/>
          <w:szCs w:val="22"/>
        </w:rPr>
        <w:t xml:space="preserve">ensando no público que ainda não é assinante, foi criada uma segunda oportunidade de disponibilizar novas assinaturas das séries de concertos. A ideia é que esta seja uma oportunidade para que mais pessoas possam selecionar suas apresentações favoritas na Sala Minas Gerais, com benefícios especiais e a opção de combinar diferentes séries. Os novos assinantes poderão escolher entre a programação das </w:t>
      </w:r>
      <w:r w:rsidRPr="00366CC6">
        <w:rPr>
          <w:rFonts w:ascii="Verdana" w:eastAsia="Verdana" w:hAnsi="Verdana" w:cs="Calibri Light"/>
          <w:sz w:val="22"/>
          <w:szCs w:val="22"/>
        </w:rPr>
        <w:t xml:space="preserve">séries </w:t>
      </w:r>
      <w:r w:rsidRPr="00366CC6">
        <w:rPr>
          <w:rFonts w:ascii="Verdana" w:eastAsia="Verdana" w:hAnsi="Verdana" w:cs="Calibri Light"/>
          <w:b/>
          <w:bCs/>
          <w:sz w:val="22"/>
          <w:szCs w:val="22"/>
        </w:rPr>
        <w:t>Allegro, Vivace,</w:t>
      </w:r>
      <w:r w:rsidRPr="00366CC6">
        <w:rPr>
          <w:rFonts w:ascii="Verdana" w:eastAsia="Verdana" w:hAnsi="Verdana" w:cs="Calibri Light"/>
          <w:sz w:val="22"/>
          <w:szCs w:val="22"/>
        </w:rPr>
        <w:t xml:space="preserve"> </w:t>
      </w:r>
      <w:r w:rsidRPr="00366CC6">
        <w:rPr>
          <w:rFonts w:ascii="Verdana" w:eastAsia="Verdana" w:hAnsi="Verdana" w:cs="Calibri Light"/>
          <w:b/>
          <w:bCs/>
          <w:sz w:val="22"/>
          <w:szCs w:val="22"/>
        </w:rPr>
        <w:t>Presto e Veloce</w:t>
      </w:r>
      <w:r w:rsidRPr="00366CC6">
        <w:rPr>
          <w:rFonts w:ascii="Verdana" w:eastAsia="Verdana" w:hAnsi="Verdana" w:cs="Calibri Light"/>
          <w:sz w:val="22"/>
          <w:szCs w:val="22"/>
        </w:rPr>
        <w:t xml:space="preserve">, realizadas às quintas e sextas-feiras, e a série </w:t>
      </w:r>
      <w:r w:rsidRPr="00366CC6">
        <w:rPr>
          <w:rFonts w:ascii="Verdana" w:eastAsia="Verdana" w:hAnsi="Verdana" w:cs="Calibri Light"/>
          <w:b/>
          <w:bCs/>
          <w:sz w:val="22"/>
          <w:szCs w:val="22"/>
        </w:rPr>
        <w:t>Fora de Série</w:t>
      </w:r>
      <w:r w:rsidRPr="00366CC6">
        <w:rPr>
          <w:rFonts w:ascii="Verdana" w:eastAsia="Verdana" w:hAnsi="Verdana" w:cs="Calibri Light"/>
          <w:sz w:val="22"/>
          <w:szCs w:val="22"/>
        </w:rPr>
        <w:t>, realizada aos sábados, garantir seus ingressos antecipadamente e assistir aos concertos, de maio a dezembro de 202</w:t>
      </w:r>
      <w:r>
        <w:rPr>
          <w:rFonts w:ascii="Verdana" w:eastAsia="Verdana" w:hAnsi="Verdana" w:cs="Calibri Light"/>
          <w:sz w:val="22"/>
          <w:szCs w:val="22"/>
        </w:rPr>
        <w:t>5</w:t>
      </w:r>
      <w:r w:rsidRPr="00366CC6">
        <w:rPr>
          <w:rFonts w:ascii="Verdana" w:eastAsia="Verdana" w:hAnsi="Verdana" w:cs="Calibri Light"/>
          <w:sz w:val="22"/>
          <w:szCs w:val="22"/>
        </w:rPr>
        <w:t>, em seus assentos marcados. As assinaturas podem ser adquiridas pelo telefone (31) 3219-9000 ou na bilheteria da Sala Minas Gerais (</w:t>
      </w:r>
      <w:r w:rsidRPr="00366CC6">
        <w:rPr>
          <w:rFonts w:ascii="Verdana" w:hAnsi="Verdana" w:cs="Calibri Light"/>
          <w:sz w:val="22"/>
          <w:szCs w:val="22"/>
        </w:rPr>
        <w:t>Rua Tenente Brito Melo, 1.090, Barro Preto, Belo Horizonte - MG)</w:t>
      </w:r>
      <w:r w:rsidRPr="00366CC6">
        <w:rPr>
          <w:rFonts w:ascii="Verdana" w:eastAsia="Verdana" w:hAnsi="Verdana" w:cs="Calibri Light"/>
          <w:sz w:val="22"/>
          <w:szCs w:val="22"/>
        </w:rPr>
        <w:t xml:space="preserve">. </w:t>
      </w:r>
      <w:r w:rsidRPr="00627017">
        <w:rPr>
          <w:rFonts w:ascii="Verdana" w:eastAsia="Verdana" w:hAnsi="Verdana" w:cs="Calibri Light"/>
          <w:b/>
          <w:bCs/>
          <w:sz w:val="22"/>
          <w:szCs w:val="22"/>
        </w:rPr>
        <w:t xml:space="preserve">O prazo é até dia </w:t>
      </w:r>
      <w:r>
        <w:rPr>
          <w:rFonts w:ascii="Verdana" w:eastAsia="Verdana" w:hAnsi="Verdana" w:cs="Calibri Light"/>
          <w:b/>
          <w:bCs/>
          <w:sz w:val="22"/>
          <w:szCs w:val="22"/>
        </w:rPr>
        <w:t>5</w:t>
      </w:r>
      <w:r w:rsidRPr="00627017">
        <w:rPr>
          <w:rFonts w:ascii="Verdana" w:eastAsia="Verdana" w:hAnsi="Verdana" w:cs="Calibri Light"/>
          <w:b/>
          <w:bCs/>
          <w:sz w:val="22"/>
          <w:szCs w:val="22"/>
        </w:rPr>
        <w:t xml:space="preserve"> de </w:t>
      </w:r>
      <w:r>
        <w:rPr>
          <w:rFonts w:ascii="Verdana" w:eastAsia="Verdana" w:hAnsi="Verdana" w:cs="Calibri Light"/>
          <w:b/>
          <w:bCs/>
          <w:sz w:val="22"/>
          <w:szCs w:val="22"/>
        </w:rPr>
        <w:t>maio</w:t>
      </w:r>
      <w:r w:rsidRPr="00366CC6">
        <w:rPr>
          <w:rFonts w:ascii="Verdana" w:eastAsia="Verdana" w:hAnsi="Verdana" w:cs="Calibri Light"/>
          <w:sz w:val="22"/>
          <w:szCs w:val="22"/>
        </w:rPr>
        <w:t xml:space="preserve">, com pacotes de assinaturas que vão de </w:t>
      </w:r>
      <w:r w:rsidRPr="003A64FC">
        <w:rPr>
          <w:rFonts w:ascii="Verdana" w:eastAsia="Verdana" w:hAnsi="Verdana" w:cs="Calibri Light"/>
          <w:color w:val="000000" w:themeColor="text1"/>
          <w:sz w:val="22"/>
          <w:szCs w:val="22"/>
        </w:rPr>
        <w:t>R</w:t>
      </w:r>
      <w:r w:rsidRPr="002206A5">
        <w:rPr>
          <w:rFonts w:ascii="Verdana" w:eastAsia="Verdana" w:hAnsi="Verdana" w:cs="Calibri Light"/>
          <w:color w:val="000000" w:themeColor="text1"/>
          <w:sz w:val="22"/>
          <w:szCs w:val="22"/>
        </w:rPr>
        <w:t>$ 75,28 (</w:t>
      </w:r>
      <w:r w:rsidRPr="003A64FC">
        <w:rPr>
          <w:rFonts w:ascii="Verdana" w:eastAsia="Verdana" w:hAnsi="Verdana" w:cs="Calibri Light"/>
          <w:color w:val="000000" w:themeColor="text1"/>
          <w:sz w:val="22"/>
          <w:szCs w:val="22"/>
        </w:rPr>
        <w:t xml:space="preserve">meia-entrada no </w:t>
      </w:r>
      <w:r w:rsidRPr="00A02BE8">
        <w:rPr>
          <w:rFonts w:ascii="Verdana" w:eastAsia="Verdana" w:hAnsi="Verdana" w:cs="Calibri Light"/>
          <w:sz w:val="22"/>
          <w:szCs w:val="22"/>
        </w:rPr>
        <w:t xml:space="preserve">setor Mezanino, </w:t>
      </w:r>
      <w:r>
        <w:rPr>
          <w:rFonts w:ascii="Verdana" w:eastAsia="Verdana" w:hAnsi="Verdana" w:cs="Calibri Light"/>
          <w:sz w:val="22"/>
          <w:szCs w:val="22"/>
        </w:rPr>
        <w:t>4</w:t>
      </w:r>
      <w:r w:rsidRPr="00A02BE8">
        <w:rPr>
          <w:rFonts w:ascii="Verdana" w:eastAsia="Verdana" w:hAnsi="Verdana" w:cs="Calibri Light"/>
          <w:sz w:val="22"/>
          <w:szCs w:val="22"/>
        </w:rPr>
        <w:t xml:space="preserve"> concertos na série Fora de Série) a R$ </w:t>
      </w:r>
      <w:r>
        <w:rPr>
          <w:rFonts w:ascii="Verdana" w:eastAsia="Verdana" w:hAnsi="Verdana" w:cs="Calibri Light"/>
          <w:sz w:val="22"/>
          <w:szCs w:val="22"/>
        </w:rPr>
        <w:t>2.476,80</w:t>
      </w:r>
      <w:r>
        <w:rPr>
          <w:rFonts w:ascii="Verdana" w:eastAsia="Verdana" w:hAnsi="Verdana" w:cs="Calibri Light"/>
          <w:color w:val="FF0000"/>
          <w:sz w:val="22"/>
          <w:szCs w:val="22"/>
        </w:rPr>
        <w:t xml:space="preserve"> </w:t>
      </w:r>
      <w:r w:rsidRPr="002206A5">
        <w:rPr>
          <w:rFonts w:ascii="Verdana" w:eastAsia="Verdana" w:hAnsi="Verdana" w:cs="Calibri Light"/>
          <w:color w:val="000000" w:themeColor="text1"/>
          <w:sz w:val="22"/>
          <w:szCs w:val="22"/>
        </w:rPr>
        <w:t xml:space="preserve">(inteira no setor Balcão Principal, 16 concertos, sendo duas séries de 8 concertos), dividido </w:t>
      </w:r>
      <w:r w:rsidRPr="003A64FC">
        <w:rPr>
          <w:rFonts w:ascii="Verdana" w:eastAsia="Verdana" w:hAnsi="Verdana" w:cs="Calibri Light"/>
          <w:color w:val="000000" w:themeColor="text1"/>
          <w:sz w:val="22"/>
          <w:szCs w:val="22"/>
        </w:rPr>
        <w:t>em 4 vezes no cartão de crédito.</w:t>
      </w:r>
      <w:r w:rsidRPr="00D553D4">
        <w:rPr>
          <w:rFonts w:ascii="Verdana" w:eastAsia="Verdana" w:hAnsi="Verdana" w:cs="Calibri Light"/>
          <w:color w:val="000000" w:themeColor="text1"/>
          <w:sz w:val="22"/>
          <w:szCs w:val="22"/>
        </w:rPr>
        <w:t xml:space="preserve"> </w:t>
      </w:r>
      <w:r w:rsidRPr="00366CC6">
        <w:rPr>
          <w:rFonts w:ascii="Verdana" w:eastAsia="Verdana" w:hAnsi="Verdana" w:cs="Calibri Light"/>
          <w:sz w:val="22"/>
          <w:szCs w:val="22"/>
        </w:rPr>
        <w:t xml:space="preserve">Mais informações: </w:t>
      </w:r>
      <w:hyperlink r:id="rId8" w:history="1">
        <w:r w:rsidRPr="00366CC6">
          <w:rPr>
            <w:rStyle w:val="Hyperlink"/>
            <w:rFonts w:ascii="Verdana" w:eastAsia="Verdana" w:hAnsi="Verdana" w:cs="Calibri Light"/>
            <w:sz w:val="22"/>
            <w:szCs w:val="22"/>
          </w:rPr>
          <w:t>www.filarmonica.art.br</w:t>
        </w:r>
      </w:hyperlink>
    </w:p>
    <w:p w14:paraId="50775CDC" w14:textId="77777777" w:rsidR="00A74F19" w:rsidRPr="00A21989" w:rsidRDefault="00A74F19" w:rsidP="00A74F19">
      <w:pPr>
        <w:jc w:val="both"/>
        <w:rPr>
          <w:rFonts w:ascii="Verdana" w:eastAsia="Verdana" w:hAnsi="Verdana" w:cs="Calibri Light"/>
          <w:b/>
          <w:bCs/>
          <w:sz w:val="22"/>
          <w:szCs w:val="22"/>
        </w:rPr>
      </w:pPr>
      <w:r w:rsidRPr="00A21989">
        <w:rPr>
          <w:rFonts w:ascii="Verdana" w:eastAsia="Verdana" w:hAnsi="Verdana" w:cs="Calibri Light"/>
          <w:sz w:val="22"/>
          <w:szCs w:val="22"/>
        </w:rPr>
        <w:t xml:space="preserve">“É com muita alegria que trazemos a vocês mais uma chance de se tornar assinante da temporada 2025. Além da combinação de um repertório diverso, relevante e instigante, com a participação de solistas e regentes convidados que despontam no cenário internacional da música clássica, a Temporada 2025 celebra um aniversário muito especial para todos nós: os 10 anos da Sala Minas Gerais. Planejada e construída para ser a sede da Filarmônica, a Sala Minas Gerais, desde sua estreia, mostrou-se um dos melhores espaços dedicados à música de concerto em todo o mundo. Juntamente a sua apreciada acústica, pensada cuidadosamente para traduzir as necessidades e qualidades de diferentes formações orquestrais, até sua beleza arquitetônica – discreta, mas envolvente –, a Sala Minas Gerais e sua orquestra se tornaram, em pouco tempo, reconhecidas referências na excelência do que produzem e do que contribuem para a vida cultural de Belo Horizonte e de Minas Gerais”, </w:t>
      </w:r>
      <w:r w:rsidRPr="00A21989">
        <w:rPr>
          <w:rFonts w:ascii="Verdana" w:eastAsia="Verdana" w:hAnsi="Verdana" w:cs="Calibri Light"/>
          <w:b/>
          <w:bCs/>
          <w:sz w:val="22"/>
          <w:szCs w:val="22"/>
        </w:rPr>
        <w:t>destaca o maestro Fabio Mechetti, Diretor Artístico e Regente Titular da Filarmônica de Minas Gerais.</w:t>
      </w:r>
    </w:p>
    <w:p w14:paraId="49150553" w14:textId="77777777" w:rsidR="00F75F29" w:rsidRDefault="00F75F29" w:rsidP="00A74F19">
      <w:pPr>
        <w:spacing w:line="360" w:lineRule="auto"/>
        <w:rPr>
          <w:rFonts w:ascii="Verdana" w:hAnsi="Verdana" w:cs="Calibri Light"/>
          <w:b/>
          <w:bCs/>
          <w:sz w:val="22"/>
          <w:szCs w:val="22"/>
        </w:rPr>
      </w:pPr>
    </w:p>
    <w:p w14:paraId="2F76A98B" w14:textId="63FF02A3" w:rsidR="00A74F19" w:rsidRPr="00366CC6" w:rsidRDefault="00A74F19" w:rsidP="00A74F19">
      <w:pPr>
        <w:spacing w:line="360" w:lineRule="auto"/>
        <w:rPr>
          <w:rFonts w:ascii="Verdana" w:hAnsi="Verdana" w:cs="Calibri Light"/>
          <w:b/>
          <w:bCs/>
          <w:sz w:val="22"/>
          <w:szCs w:val="22"/>
        </w:rPr>
      </w:pPr>
      <w:r w:rsidRPr="003A64FC">
        <w:rPr>
          <w:rFonts w:ascii="Verdana" w:hAnsi="Verdana" w:cs="Calibri Light"/>
          <w:b/>
          <w:bCs/>
          <w:sz w:val="22"/>
          <w:szCs w:val="22"/>
        </w:rPr>
        <w:t>ASSINATURAS MAIO A DEZEMBRO DE 202</w:t>
      </w:r>
      <w:r>
        <w:rPr>
          <w:rFonts w:ascii="Verdana" w:hAnsi="Verdana" w:cs="Calibri Light"/>
          <w:b/>
          <w:bCs/>
          <w:sz w:val="22"/>
          <w:szCs w:val="22"/>
        </w:rPr>
        <w:t>5</w:t>
      </w:r>
    </w:p>
    <w:p w14:paraId="76530938" w14:textId="77777777" w:rsidR="00A74F19" w:rsidRDefault="00A74F19" w:rsidP="00A74F19">
      <w:pPr>
        <w:jc w:val="both"/>
        <w:rPr>
          <w:rFonts w:ascii="Verdana" w:hAnsi="Verdana" w:cs="Calibri Light"/>
          <w:b/>
          <w:bCs/>
          <w:sz w:val="22"/>
          <w:szCs w:val="22"/>
        </w:rPr>
      </w:pPr>
      <w:r w:rsidRPr="00366CC6">
        <w:rPr>
          <w:rFonts w:ascii="Verdana" w:hAnsi="Verdana" w:cs="Calibri Light"/>
          <w:sz w:val="22"/>
          <w:szCs w:val="22"/>
        </w:rPr>
        <w:t xml:space="preserve">Lançado em 2009, o Programa de Assinaturas, iniciativa inédita nas produções culturais do estado, foi rapidamente abraçado pelo público da Filarmônica de Minas Gerais. Os assentos na Sala Minas Gerais disponíveis para assinatura são distribuídos em cinco setores, com preços diferentes (balcão principal, plateia central, balcão lateral, </w:t>
      </w:r>
      <w:r w:rsidRPr="00366CC6">
        <w:rPr>
          <w:rFonts w:ascii="Verdana" w:hAnsi="Verdana" w:cs="Calibri Light"/>
          <w:sz w:val="22"/>
          <w:szCs w:val="22"/>
        </w:rPr>
        <w:lastRenderedPageBreak/>
        <w:t xml:space="preserve">mezanino e balcão palco). O assinante recebe vantagens que vão de descontos nos preços dos ingressos à possibilidade de ocupar o mesmo lugar nos concertos adquiridos. Além disso, assinaturas têm sido adquiridas como opção de presente, pela experiência que proporcionam e por terem um custo acessível. É possível adquirir assinaturas também em pacotes para empresas. As séries disponíveis para assinatura são </w:t>
      </w:r>
      <w:r w:rsidRPr="00366CC6">
        <w:rPr>
          <w:rFonts w:ascii="Verdana" w:hAnsi="Verdana" w:cs="Calibri Light"/>
          <w:b/>
          <w:bCs/>
          <w:sz w:val="22"/>
          <w:szCs w:val="22"/>
        </w:rPr>
        <w:t>Presto</w:t>
      </w:r>
      <w:r w:rsidRPr="00366CC6">
        <w:rPr>
          <w:rFonts w:ascii="Verdana" w:hAnsi="Verdana" w:cs="Calibri Light"/>
          <w:sz w:val="22"/>
          <w:szCs w:val="22"/>
        </w:rPr>
        <w:t xml:space="preserve">, </w:t>
      </w:r>
      <w:r w:rsidRPr="00366CC6">
        <w:rPr>
          <w:rFonts w:ascii="Verdana" w:hAnsi="Verdana" w:cs="Calibri Light"/>
          <w:b/>
          <w:bCs/>
          <w:sz w:val="22"/>
          <w:szCs w:val="22"/>
        </w:rPr>
        <w:t>Veloce, Allegro</w:t>
      </w:r>
      <w:r w:rsidRPr="00366CC6">
        <w:rPr>
          <w:rFonts w:ascii="Verdana" w:hAnsi="Verdana" w:cs="Calibri Light"/>
          <w:sz w:val="22"/>
          <w:szCs w:val="22"/>
        </w:rPr>
        <w:t xml:space="preserve">, </w:t>
      </w:r>
      <w:r w:rsidRPr="00366CC6">
        <w:rPr>
          <w:rFonts w:ascii="Verdana" w:hAnsi="Verdana" w:cs="Calibri Light"/>
          <w:b/>
          <w:bCs/>
          <w:sz w:val="22"/>
          <w:szCs w:val="22"/>
        </w:rPr>
        <w:t>Vivace</w:t>
      </w:r>
      <w:r w:rsidRPr="00366CC6">
        <w:rPr>
          <w:rFonts w:ascii="Verdana" w:hAnsi="Verdana" w:cs="Calibri Light"/>
          <w:sz w:val="22"/>
          <w:szCs w:val="22"/>
        </w:rPr>
        <w:t xml:space="preserve"> e </w:t>
      </w:r>
      <w:r w:rsidRPr="00366CC6">
        <w:rPr>
          <w:rFonts w:ascii="Verdana" w:hAnsi="Verdana" w:cs="Calibri Light"/>
          <w:b/>
          <w:bCs/>
          <w:sz w:val="22"/>
          <w:szCs w:val="22"/>
        </w:rPr>
        <w:t>Fora de Série.</w:t>
      </w:r>
    </w:p>
    <w:p w14:paraId="065D623D" w14:textId="77777777" w:rsidR="00A74F19" w:rsidRPr="002A5FB0" w:rsidRDefault="00A74F19" w:rsidP="00A74F19">
      <w:pPr>
        <w:jc w:val="both"/>
        <w:rPr>
          <w:rFonts w:ascii="Verdana" w:hAnsi="Verdana" w:cs="Calibri Light"/>
          <w:sz w:val="22"/>
          <w:szCs w:val="22"/>
        </w:rPr>
      </w:pPr>
      <w:r w:rsidRPr="002A5FB0">
        <w:rPr>
          <w:rFonts w:ascii="Verdana" w:hAnsi="Verdana" w:cs="Calibri Light"/>
          <w:b/>
          <w:bCs/>
          <w:sz w:val="22"/>
          <w:szCs w:val="22"/>
        </w:rPr>
        <w:t>Os novos assinantes, para o período de maio a dezembro de 2025</w:t>
      </w:r>
      <w:r w:rsidRPr="002A5FB0">
        <w:rPr>
          <w:rFonts w:ascii="Verdana" w:hAnsi="Verdana" w:cs="Calibri Light"/>
          <w:sz w:val="22"/>
          <w:szCs w:val="22"/>
        </w:rPr>
        <w:t>, poderão comprar pacotes de 8 concertos (séries Presto ou Allegro ou Veloce ou Vivace, às quintas ou sextas-feiras), 4 concertos (série Fora de série, aos sábados), 16 concertos (duas séries de quintas ou sextas) ou pacotes que oferecem a combinação de mais de uma série, totalizando 12 (uma série de 8 concertos + a série Fora de Série) ou 20 concertos (duas séries de 8 concertos + a série Fora de Série. Têm direito a meia-entrada, de acordo com a legislação, as pessoas maiores de 60 anos, estudantes, jovens de baixa renda e pessoas com deficiência. Ao pagar preço cheio ou meia-entrada, os assinantes podem dividir o valor da compra em até quatro vezes, sem juros, no cartão de crédito.</w:t>
      </w:r>
    </w:p>
    <w:p w14:paraId="3A4B0B75" w14:textId="77777777" w:rsidR="00A74F19" w:rsidRDefault="00A74F19" w:rsidP="00A74F19">
      <w:pPr>
        <w:jc w:val="both"/>
        <w:rPr>
          <w:rFonts w:ascii="Verdana" w:eastAsia="Verdana" w:hAnsi="Verdana" w:cs="Calibri Light"/>
          <w:b/>
          <w:sz w:val="22"/>
          <w:szCs w:val="22"/>
        </w:rPr>
      </w:pPr>
      <w:r>
        <w:rPr>
          <w:rFonts w:ascii="Verdana" w:eastAsia="Verdana" w:hAnsi="Verdana" w:cs="Calibri Light"/>
          <w:b/>
          <w:sz w:val="22"/>
          <w:szCs w:val="22"/>
        </w:rPr>
        <w:t xml:space="preserve">Jovem Assinante </w:t>
      </w:r>
    </w:p>
    <w:p w14:paraId="55DA5FBF" w14:textId="77777777" w:rsidR="00A74F19" w:rsidRDefault="00A74F19" w:rsidP="00A74F19">
      <w:pPr>
        <w:pStyle w:val="NormalWeb"/>
        <w:spacing w:before="0" w:beforeAutospacing="0" w:after="0" w:afterAutospacing="0"/>
        <w:jc w:val="both"/>
        <w:rPr>
          <w:rFonts w:ascii="Verdana" w:hAnsi="Verdana" w:cs="Calibri Light"/>
          <w:sz w:val="22"/>
          <w:szCs w:val="22"/>
        </w:rPr>
      </w:pPr>
      <w:r>
        <w:rPr>
          <w:rFonts w:ascii="Verdana" w:hAnsi="Verdana" w:cs="Calibri Light"/>
          <w:sz w:val="22"/>
          <w:szCs w:val="22"/>
        </w:rPr>
        <w:t>A</w:t>
      </w:r>
      <w:r w:rsidRPr="00D325DD">
        <w:rPr>
          <w:rFonts w:ascii="Verdana" w:hAnsi="Verdana" w:cs="Calibri Light"/>
          <w:sz w:val="22"/>
          <w:szCs w:val="22"/>
        </w:rPr>
        <w:t xml:space="preserve"> campanha</w:t>
      </w:r>
      <w:r>
        <w:rPr>
          <w:rFonts w:ascii="Verdana" w:hAnsi="Verdana" w:cs="Calibri Light"/>
          <w:sz w:val="22"/>
          <w:szCs w:val="22"/>
        </w:rPr>
        <w:t xml:space="preserve"> “segunda chance”</w:t>
      </w:r>
      <w:r w:rsidRPr="00D325DD">
        <w:rPr>
          <w:rFonts w:ascii="Verdana" w:hAnsi="Verdana" w:cs="Calibri Light"/>
          <w:sz w:val="22"/>
          <w:szCs w:val="22"/>
        </w:rPr>
        <w:t xml:space="preserve"> também se estende </w:t>
      </w:r>
      <w:r>
        <w:rPr>
          <w:rFonts w:ascii="Verdana" w:hAnsi="Verdana" w:cs="Calibri Light"/>
          <w:sz w:val="22"/>
          <w:szCs w:val="22"/>
        </w:rPr>
        <w:t>a</w:t>
      </w:r>
      <w:r w:rsidRPr="00D325DD">
        <w:rPr>
          <w:rFonts w:ascii="Verdana" w:hAnsi="Verdana" w:cs="Calibri Light"/>
          <w:sz w:val="22"/>
          <w:szCs w:val="22"/>
        </w:rPr>
        <w:t>os jovens assinantes, com idades entre 12 e 18 anos,</w:t>
      </w:r>
      <w:r>
        <w:rPr>
          <w:rFonts w:ascii="Verdana" w:hAnsi="Verdana" w:cs="Calibri Light"/>
          <w:sz w:val="22"/>
          <w:szCs w:val="22"/>
        </w:rPr>
        <w:t xml:space="preserve"> categoria criada pela Filarmônica e que é um sucesso. Os</w:t>
      </w:r>
      <w:r w:rsidRPr="00D325DD">
        <w:rPr>
          <w:rFonts w:ascii="Verdana" w:hAnsi="Verdana" w:cs="Calibri Light"/>
          <w:sz w:val="22"/>
          <w:szCs w:val="22"/>
        </w:rPr>
        <w:t xml:space="preserve"> valores vão </w:t>
      </w:r>
      <w:r w:rsidRPr="0019394A">
        <w:rPr>
          <w:rFonts w:ascii="Verdana" w:hAnsi="Verdana" w:cs="Calibri Light"/>
          <w:sz w:val="22"/>
          <w:szCs w:val="22"/>
        </w:rPr>
        <w:t xml:space="preserve">de </w:t>
      </w:r>
      <w:r w:rsidRPr="00C21FE8">
        <w:rPr>
          <w:rFonts w:ascii="Verdana" w:hAnsi="Verdana" w:cs="Calibri Light"/>
          <w:color w:val="000000" w:themeColor="text1"/>
          <w:sz w:val="22"/>
          <w:szCs w:val="22"/>
        </w:rPr>
        <w:t xml:space="preserve">R$ 37,64 (4 concertos da série Fora de Série, no mezanino) a R$ 619,20 (16 concertos de séries, no balcão principal). </w:t>
      </w:r>
      <w:r w:rsidRPr="004C51FA">
        <w:rPr>
          <w:rFonts w:ascii="Verdana" w:hAnsi="Verdana" w:cs="Calibri Light"/>
          <w:sz w:val="22"/>
          <w:szCs w:val="22"/>
        </w:rPr>
        <w:t xml:space="preserve">Os valores podem ser feitos no cartão de débito ou em até quatro vezes, sem juros, no </w:t>
      </w:r>
      <w:r>
        <w:rPr>
          <w:rFonts w:ascii="Verdana" w:hAnsi="Verdana" w:cs="Calibri Light"/>
          <w:sz w:val="22"/>
          <w:szCs w:val="22"/>
        </w:rPr>
        <w:t>cartão de crédito.</w:t>
      </w:r>
    </w:p>
    <w:p w14:paraId="35980F1C" w14:textId="77777777" w:rsidR="00A74F19" w:rsidRDefault="00A74F19" w:rsidP="00A74F19">
      <w:pPr>
        <w:pStyle w:val="NormalWeb"/>
        <w:spacing w:before="0" w:beforeAutospacing="0" w:after="0" w:afterAutospacing="0"/>
        <w:jc w:val="both"/>
        <w:rPr>
          <w:rFonts w:ascii="Verdana" w:hAnsi="Verdana" w:cs="Calibri Light"/>
          <w:sz w:val="22"/>
          <w:szCs w:val="22"/>
        </w:rPr>
      </w:pPr>
    </w:p>
    <w:p w14:paraId="25886E27" w14:textId="77777777" w:rsidR="00A74F19" w:rsidRDefault="00A74F19" w:rsidP="00A74F19">
      <w:pPr>
        <w:pStyle w:val="NormalWeb"/>
        <w:spacing w:before="0" w:beforeAutospacing="0" w:after="0" w:afterAutospacing="0"/>
        <w:jc w:val="both"/>
        <w:rPr>
          <w:rFonts w:ascii="Verdana" w:hAnsi="Verdana" w:cs="Calibri Light"/>
          <w:sz w:val="22"/>
          <w:szCs w:val="22"/>
        </w:rPr>
      </w:pPr>
      <w:r w:rsidRPr="00190624">
        <w:rPr>
          <w:rFonts w:ascii="Verdana" w:hAnsi="Verdana" w:cs="Calibri Light"/>
          <w:sz w:val="22"/>
          <w:szCs w:val="22"/>
        </w:rPr>
        <w:t>O objetivo da série “Jovem Assinante” é despertar o amor pela música nos jovens e estimulá-los ao hábito de vivenciar a música de concerto regularmente na Sala Minas Gerais.</w:t>
      </w:r>
    </w:p>
    <w:p w14:paraId="7DF6A4DB" w14:textId="77777777" w:rsidR="00A74F19" w:rsidRDefault="00A74F19" w:rsidP="00A74F19">
      <w:pPr>
        <w:jc w:val="both"/>
        <w:rPr>
          <w:rFonts w:ascii="Verdana" w:eastAsia="Verdana" w:hAnsi="Verdana" w:cs="Calibri Light"/>
          <w:b/>
          <w:sz w:val="22"/>
          <w:szCs w:val="22"/>
        </w:rPr>
      </w:pPr>
    </w:p>
    <w:p w14:paraId="7A1F6BD4" w14:textId="77777777" w:rsidR="00A74F19" w:rsidRPr="00366CC6" w:rsidRDefault="00A74F19" w:rsidP="00A74F19">
      <w:pPr>
        <w:jc w:val="both"/>
        <w:rPr>
          <w:rFonts w:ascii="Verdana" w:eastAsia="Verdana" w:hAnsi="Verdana" w:cs="Calibri Light"/>
          <w:b/>
          <w:sz w:val="22"/>
          <w:szCs w:val="22"/>
        </w:rPr>
      </w:pPr>
      <w:r w:rsidRPr="00366CC6">
        <w:rPr>
          <w:rFonts w:ascii="Verdana" w:eastAsia="Verdana" w:hAnsi="Verdana" w:cs="Calibri Light"/>
          <w:b/>
          <w:sz w:val="22"/>
          <w:szCs w:val="22"/>
        </w:rPr>
        <w:t xml:space="preserve">DESTAQUES DA </w:t>
      </w:r>
    </w:p>
    <w:p w14:paraId="2278910A" w14:textId="77777777" w:rsidR="00A74F19" w:rsidRPr="00366CC6" w:rsidRDefault="00A74F19" w:rsidP="00A74F19">
      <w:pPr>
        <w:jc w:val="both"/>
        <w:rPr>
          <w:rFonts w:ascii="Verdana" w:eastAsia="Verdana" w:hAnsi="Verdana" w:cs="Calibri Light"/>
          <w:b/>
          <w:sz w:val="22"/>
          <w:szCs w:val="22"/>
        </w:rPr>
      </w:pPr>
      <w:r w:rsidRPr="00366CC6">
        <w:rPr>
          <w:rFonts w:ascii="Verdana" w:eastAsia="Verdana" w:hAnsi="Verdana" w:cs="Calibri Light"/>
          <w:b/>
          <w:sz w:val="22"/>
          <w:szCs w:val="22"/>
        </w:rPr>
        <w:t>PROGRAMAÇÃO 202</w:t>
      </w:r>
      <w:r>
        <w:rPr>
          <w:rFonts w:ascii="Verdana" w:eastAsia="Verdana" w:hAnsi="Verdana" w:cs="Calibri Light"/>
          <w:b/>
          <w:sz w:val="22"/>
          <w:szCs w:val="22"/>
        </w:rPr>
        <w:t>5</w:t>
      </w:r>
    </w:p>
    <w:p w14:paraId="4F2BD0B4" w14:textId="77777777" w:rsidR="00A74F19" w:rsidRPr="00AC6293" w:rsidRDefault="00A74F19" w:rsidP="00A74F19">
      <w:pPr>
        <w:jc w:val="both"/>
        <w:rPr>
          <w:rFonts w:ascii="Verdana" w:eastAsia="Times New Roman" w:hAnsi="Verdana" w:cs="Calibri Light"/>
          <w:b/>
          <w:bCs/>
          <w:sz w:val="22"/>
          <w:szCs w:val="22"/>
        </w:rPr>
      </w:pPr>
      <w:r w:rsidRPr="00AC6293">
        <w:rPr>
          <w:rFonts w:ascii="Verdana" w:eastAsia="Times New Roman" w:hAnsi="Verdana" w:cs="Calibri Light"/>
          <w:sz w:val="22"/>
          <w:szCs w:val="22"/>
        </w:rPr>
        <w:t xml:space="preserve">Em 2025, a Sala Minas Gerais receberá, em seu palco, artistas consagrados, como o violoncelista </w:t>
      </w:r>
      <w:r w:rsidRPr="00AC6293">
        <w:rPr>
          <w:rFonts w:ascii="Verdana" w:eastAsia="Times New Roman" w:hAnsi="Verdana" w:cs="Calibri Light"/>
          <w:b/>
          <w:bCs/>
          <w:sz w:val="22"/>
          <w:szCs w:val="22"/>
        </w:rPr>
        <w:t>Mischa Maisky</w:t>
      </w:r>
      <w:r w:rsidRPr="00AC6293">
        <w:rPr>
          <w:rFonts w:ascii="Verdana" w:eastAsia="Times New Roman" w:hAnsi="Verdana" w:cs="Calibri Light"/>
          <w:sz w:val="22"/>
          <w:szCs w:val="22"/>
        </w:rPr>
        <w:t xml:space="preserve">, que se une aos filhos para executar o singular </w:t>
      </w:r>
      <w:r w:rsidRPr="00AC6293">
        <w:rPr>
          <w:rFonts w:ascii="Verdana" w:eastAsia="Times New Roman" w:hAnsi="Verdana" w:cs="Calibri Light"/>
          <w:i/>
          <w:iCs/>
          <w:sz w:val="22"/>
          <w:szCs w:val="22"/>
        </w:rPr>
        <w:t>Concerto Tríplice</w:t>
      </w:r>
      <w:r w:rsidRPr="00AC6293">
        <w:rPr>
          <w:rFonts w:ascii="Verdana" w:eastAsia="Times New Roman" w:hAnsi="Verdana" w:cs="Calibri Light"/>
          <w:sz w:val="22"/>
          <w:szCs w:val="22"/>
        </w:rPr>
        <w:t xml:space="preserve"> de Beethoven,</w:t>
      </w:r>
      <w:r w:rsidRPr="00AC6293">
        <w:rPr>
          <w:rFonts w:ascii="Verdana" w:eastAsia="Times New Roman" w:hAnsi="Verdana" w:cs="Calibri Light"/>
          <w:b/>
          <w:bCs/>
          <w:sz w:val="22"/>
          <w:szCs w:val="22"/>
        </w:rPr>
        <w:t xml:space="preserve"> </w:t>
      </w:r>
      <w:r w:rsidRPr="00AC6293">
        <w:rPr>
          <w:rFonts w:ascii="Verdana" w:eastAsia="Times New Roman" w:hAnsi="Verdana" w:cs="Calibri Light"/>
          <w:sz w:val="22"/>
          <w:szCs w:val="22"/>
        </w:rPr>
        <w:t>os aclamados</w:t>
      </w:r>
      <w:r w:rsidRPr="00AC6293">
        <w:rPr>
          <w:rFonts w:ascii="Verdana" w:eastAsia="Times New Roman" w:hAnsi="Verdana" w:cs="Calibri Light"/>
          <w:b/>
          <w:bCs/>
          <w:sz w:val="22"/>
          <w:szCs w:val="22"/>
        </w:rPr>
        <w:t xml:space="preserve"> Arnaldo</w:t>
      </w:r>
      <w:r w:rsidRPr="00AC6293">
        <w:rPr>
          <w:rFonts w:ascii="Verdana" w:eastAsia="Times New Roman" w:hAnsi="Verdana" w:cs="Calibri Light"/>
          <w:sz w:val="22"/>
          <w:szCs w:val="22"/>
        </w:rPr>
        <w:t xml:space="preserve"> </w:t>
      </w:r>
      <w:r w:rsidRPr="00AC6293">
        <w:rPr>
          <w:rFonts w:ascii="Verdana" w:eastAsia="Times New Roman" w:hAnsi="Verdana" w:cs="Calibri Light"/>
          <w:b/>
          <w:bCs/>
          <w:sz w:val="22"/>
          <w:szCs w:val="22"/>
        </w:rPr>
        <w:t>Cohen e Cristian Budu</w:t>
      </w:r>
      <w:r w:rsidRPr="00AC6293">
        <w:rPr>
          <w:rFonts w:ascii="Verdana" w:eastAsia="Times New Roman" w:hAnsi="Verdana" w:cs="Calibri Light"/>
          <w:sz w:val="22"/>
          <w:szCs w:val="22"/>
        </w:rPr>
        <w:t xml:space="preserve">, assim como representantes da nova geração, a exemplo de jovens e talentosos músicos e musicistas como o violinista ucraniano </w:t>
      </w:r>
      <w:r w:rsidRPr="00AC6293">
        <w:rPr>
          <w:rFonts w:ascii="Verdana" w:eastAsia="Times New Roman" w:hAnsi="Verdana" w:cs="Calibri Light"/>
          <w:b/>
          <w:bCs/>
          <w:sz w:val="22"/>
          <w:szCs w:val="22"/>
        </w:rPr>
        <w:t>Dmytro Udovichenko</w:t>
      </w:r>
      <w:r w:rsidRPr="00AC6293">
        <w:rPr>
          <w:rFonts w:ascii="Verdana" w:eastAsia="Times New Roman" w:hAnsi="Verdana" w:cs="Calibri Light"/>
          <w:sz w:val="22"/>
          <w:szCs w:val="22"/>
        </w:rPr>
        <w:t xml:space="preserve">, vencedor do mais recente concurso Rainha Elisabeth da Bélgica. A Filarmônica de Minas Gerais também mostrará sua versatilidade acústica, ao executar obras monumentais, entre elas, </w:t>
      </w:r>
      <w:r w:rsidRPr="00AC6293">
        <w:rPr>
          <w:rFonts w:ascii="Verdana" w:eastAsia="Times New Roman" w:hAnsi="Verdana" w:cs="Calibri Light"/>
          <w:b/>
          <w:bCs/>
          <w:i/>
          <w:iCs/>
          <w:sz w:val="22"/>
          <w:szCs w:val="22"/>
        </w:rPr>
        <w:t>A Sagração da Primavera</w:t>
      </w:r>
      <w:r w:rsidRPr="00AC6293">
        <w:rPr>
          <w:rFonts w:ascii="Verdana" w:eastAsia="Times New Roman" w:hAnsi="Verdana" w:cs="Calibri Light"/>
          <w:sz w:val="22"/>
          <w:szCs w:val="22"/>
        </w:rPr>
        <w:t>,</w:t>
      </w:r>
      <w:r w:rsidRPr="00AC6293">
        <w:rPr>
          <w:rFonts w:ascii="Verdana" w:eastAsia="Times New Roman" w:hAnsi="Verdana" w:cs="Calibri Light"/>
          <w:b/>
          <w:bCs/>
          <w:i/>
          <w:iCs/>
          <w:sz w:val="22"/>
          <w:szCs w:val="22"/>
        </w:rPr>
        <w:t xml:space="preserve"> </w:t>
      </w:r>
      <w:r w:rsidRPr="00AC6293">
        <w:rPr>
          <w:rFonts w:ascii="Verdana" w:eastAsia="Times New Roman" w:hAnsi="Verdana" w:cs="Calibri Light"/>
          <w:b/>
          <w:bCs/>
          <w:sz w:val="22"/>
          <w:szCs w:val="22"/>
        </w:rPr>
        <w:t>de Stravinsky</w:t>
      </w:r>
      <w:r w:rsidRPr="00AC6293">
        <w:rPr>
          <w:rFonts w:ascii="Verdana" w:eastAsia="Times New Roman" w:hAnsi="Verdana" w:cs="Calibri Light"/>
          <w:sz w:val="22"/>
          <w:szCs w:val="22"/>
        </w:rPr>
        <w:t xml:space="preserve">, e a </w:t>
      </w:r>
      <w:r w:rsidRPr="00AC6293">
        <w:rPr>
          <w:rFonts w:ascii="Verdana" w:eastAsia="Times New Roman" w:hAnsi="Verdana" w:cs="Calibri Light"/>
          <w:b/>
          <w:bCs/>
          <w:i/>
          <w:iCs/>
          <w:sz w:val="22"/>
          <w:szCs w:val="22"/>
        </w:rPr>
        <w:t>Sétima Sinfonia</w:t>
      </w:r>
      <w:r w:rsidRPr="00AC6293">
        <w:rPr>
          <w:rFonts w:ascii="Verdana" w:eastAsia="Times New Roman" w:hAnsi="Verdana" w:cs="Calibri Light"/>
          <w:sz w:val="22"/>
          <w:szCs w:val="22"/>
        </w:rPr>
        <w:t>,</w:t>
      </w:r>
      <w:r w:rsidRPr="00AC6293">
        <w:rPr>
          <w:rFonts w:ascii="Verdana" w:eastAsia="Times New Roman" w:hAnsi="Verdana" w:cs="Calibri Light"/>
          <w:b/>
          <w:bCs/>
          <w:sz w:val="22"/>
          <w:szCs w:val="22"/>
        </w:rPr>
        <w:t xml:space="preserve"> de</w:t>
      </w:r>
      <w:r w:rsidRPr="00AC6293">
        <w:rPr>
          <w:rFonts w:ascii="Verdana" w:eastAsia="Times New Roman" w:hAnsi="Verdana" w:cs="Calibri Light"/>
          <w:b/>
          <w:bCs/>
          <w:i/>
          <w:iCs/>
          <w:sz w:val="22"/>
          <w:szCs w:val="22"/>
        </w:rPr>
        <w:t xml:space="preserve"> </w:t>
      </w:r>
      <w:r w:rsidRPr="00AC6293">
        <w:rPr>
          <w:rFonts w:ascii="Verdana" w:eastAsia="Times New Roman" w:hAnsi="Verdana" w:cs="Calibri Light"/>
          <w:b/>
          <w:bCs/>
          <w:sz w:val="22"/>
          <w:szCs w:val="22"/>
        </w:rPr>
        <w:t>Shostakovich</w:t>
      </w:r>
      <w:r w:rsidRPr="00AC6293">
        <w:rPr>
          <w:rFonts w:ascii="Verdana" w:eastAsia="Times New Roman" w:hAnsi="Verdana" w:cs="Calibri Light"/>
          <w:sz w:val="22"/>
          <w:szCs w:val="22"/>
        </w:rPr>
        <w:t xml:space="preserve">, que serão apresentadas pela primeira vez pela Orquestra, bem como as mais íntimas sonoridades contidas nas obras impressionistas de </w:t>
      </w:r>
      <w:r w:rsidRPr="00AC6293">
        <w:rPr>
          <w:rFonts w:ascii="Verdana" w:eastAsia="Times New Roman" w:hAnsi="Verdana" w:cs="Calibri Light"/>
          <w:b/>
          <w:bCs/>
          <w:sz w:val="22"/>
          <w:szCs w:val="22"/>
        </w:rPr>
        <w:t>Ravel</w:t>
      </w:r>
      <w:r w:rsidRPr="00AC6293">
        <w:rPr>
          <w:rFonts w:ascii="Verdana" w:eastAsia="Times New Roman" w:hAnsi="Verdana" w:cs="Calibri Light"/>
          <w:sz w:val="22"/>
          <w:szCs w:val="22"/>
        </w:rPr>
        <w:t xml:space="preserve"> e </w:t>
      </w:r>
      <w:r w:rsidRPr="00AC6293">
        <w:rPr>
          <w:rFonts w:ascii="Verdana" w:eastAsia="Times New Roman" w:hAnsi="Verdana" w:cs="Calibri Light"/>
          <w:b/>
          <w:bCs/>
          <w:sz w:val="22"/>
          <w:szCs w:val="22"/>
        </w:rPr>
        <w:t>Debussy</w:t>
      </w:r>
      <w:r w:rsidRPr="00AC6293">
        <w:rPr>
          <w:rFonts w:ascii="Verdana" w:eastAsia="Times New Roman" w:hAnsi="Verdana" w:cs="Calibri Light"/>
          <w:sz w:val="22"/>
          <w:szCs w:val="22"/>
        </w:rPr>
        <w:t xml:space="preserve">, ou, ainda, a clareza das articulações presentes na </w:t>
      </w:r>
      <w:r w:rsidRPr="00AC6293">
        <w:rPr>
          <w:rFonts w:ascii="Verdana" w:eastAsia="Times New Roman" w:hAnsi="Verdana" w:cs="Calibri Light"/>
          <w:b/>
          <w:bCs/>
          <w:i/>
          <w:iCs/>
          <w:sz w:val="22"/>
          <w:szCs w:val="22"/>
        </w:rPr>
        <w:t>Sinfonia “Praga”</w:t>
      </w:r>
      <w:r w:rsidRPr="00AC6293">
        <w:rPr>
          <w:rFonts w:ascii="Verdana" w:eastAsia="Times New Roman" w:hAnsi="Verdana" w:cs="Calibri Light"/>
          <w:sz w:val="22"/>
          <w:szCs w:val="22"/>
        </w:rPr>
        <w:t>,</w:t>
      </w:r>
      <w:r w:rsidRPr="00AC6293">
        <w:rPr>
          <w:rFonts w:ascii="Verdana" w:eastAsia="Times New Roman" w:hAnsi="Verdana" w:cs="Calibri Light"/>
          <w:b/>
          <w:bCs/>
          <w:sz w:val="22"/>
          <w:szCs w:val="22"/>
        </w:rPr>
        <w:t xml:space="preserve"> de Mozart</w:t>
      </w:r>
      <w:r w:rsidRPr="00AC6293">
        <w:rPr>
          <w:rFonts w:ascii="Verdana" w:eastAsia="Times New Roman" w:hAnsi="Verdana" w:cs="Calibri Light"/>
          <w:sz w:val="22"/>
          <w:szCs w:val="22"/>
        </w:rPr>
        <w:t xml:space="preserve">, ou no concerto </w:t>
      </w:r>
      <w:r w:rsidRPr="00AC6293">
        <w:rPr>
          <w:rFonts w:ascii="Verdana" w:eastAsia="Times New Roman" w:hAnsi="Verdana" w:cs="Calibri Light"/>
          <w:b/>
          <w:bCs/>
          <w:i/>
          <w:iCs/>
          <w:sz w:val="22"/>
          <w:szCs w:val="22"/>
        </w:rPr>
        <w:t>Imperador</w:t>
      </w:r>
      <w:r w:rsidRPr="00AC6293">
        <w:rPr>
          <w:rFonts w:ascii="Verdana" w:eastAsia="Times New Roman" w:hAnsi="Verdana" w:cs="Calibri Light"/>
          <w:b/>
          <w:bCs/>
          <w:sz w:val="22"/>
          <w:szCs w:val="22"/>
        </w:rPr>
        <w:t xml:space="preserve"> de Beethoven</w:t>
      </w:r>
      <w:r w:rsidRPr="00AC6293">
        <w:rPr>
          <w:rFonts w:ascii="Verdana" w:eastAsia="Times New Roman" w:hAnsi="Verdana" w:cs="Calibri Light"/>
          <w:sz w:val="22"/>
          <w:szCs w:val="22"/>
        </w:rPr>
        <w:t>.</w:t>
      </w:r>
    </w:p>
    <w:p w14:paraId="1459DA29" w14:textId="77777777" w:rsidR="00A74F19" w:rsidRPr="00890960" w:rsidRDefault="00A74F19" w:rsidP="00A74F19">
      <w:pPr>
        <w:jc w:val="both"/>
        <w:rPr>
          <w:rFonts w:ascii="Verdana" w:eastAsia="Calibri" w:hAnsi="Verdana" w:cs="Calibri Light"/>
          <w:sz w:val="22"/>
          <w:szCs w:val="22"/>
        </w:rPr>
      </w:pPr>
      <w:r w:rsidRPr="00366CC6">
        <w:rPr>
          <w:rFonts w:ascii="Verdana" w:eastAsia="Calibri" w:hAnsi="Verdana" w:cs="Calibri Light"/>
          <w:color w:val="000000" w:themeColor="text1"/>
          <w:sz w:val="22"/>
          <w:szCs w:val="22"/>
        </w:rPr>
        <w:lastRenderedPageBreak/>
        <w:t>Em 202</w:t>
      </w:r>
      <w:r>
        <w:rPr>
          <w:rFonts w:ascii="Verdana" w:eastAsia="Calibri" w:hAnsi="Verdana" w:cs="Calibri Light"/>
          <w:color w:val="000000" w:themeColor="text1"/>
          <w:sz w:val="22"/>
          <w:szCs w:val="22"/>
        </w:rPr>
        <w:t>5</w:t>
      </w:r>
      <w:r w:rsidRPr="00366CC6">
        <w:rPr>
          <w:rFonts w:ascii="Verdana" w:eastAsia="Calibri" w:hAnsi="Verdana" w:cs="Calibri Light"/>
          <w:color w:val="000000" w:themeColor="text1"/>
          <w:sz w:val="22"/>
          <w:szCs w:val="22"/>
        </w:rPr>
        <w:t xml:space="preserve">, a série </w:t>
      </w:r>
      <w:r w:rsidRPr="00890960">
        <w:rPr>
          <w:rFonts w:ascii="Verdana" w:eastAsia="Calibri" w:hAnsi="Verdana" w:cs="Calibri Light"/>
          <w:b/>
          <w:bCs/>
          <w:color w:val="000000" w:themeColor="text1"/>
          <w:sz w:val="22"/>
          <w:szCs w:val="22"/>
        </w:rPr>
        <w:t>Fora de Série</w:t>
      </w:r>
      <w:r>
        <w:rPr>
          <w:rFonts w:ascii="Verdana" w:eastAsia="Calibri" w:hAnsi="Verdana" w:cs="Calibri Light"/>
          <w:color w:val="000000" w:themeColor="text1"/>
          <w:sz w:val="22"/>
          <w:szCs w:val="22"/>
        </w:rPr>
        <w:t>, realizada aos sábados,</w:t>
      </w:r>
      <w:r w:rsidRPr="00366CC6">
        <w:rPr>
          <w:rFonts w:ascii="Verdana" w:eastAsia="Calibri" w:hAnsi="Verdana" w:cs="Calibri Light"/>
          <w:color w:val="000000" w:themeColor="text1"/>
          <w:sz w:val="22"/>
          <w:szCs w:val="22"/>
        </w:rPr>
        <w:t xml:space="preserve"> </w:t>
      </w:r>
      <w:r>
        <w:rPr>
          <w:rFonts w:ascii="Verdana" w:eastAsia="Calibri" w:hAnsi="Verdana" w:cs="Calibri Light"/>
          <w:sz w:val="22"/>
          <w:szCs w:val="22"/>
        </w:rPr>
        <w:t>explora</w:t>
      </w:r>
      <w:r w:rsidRPr="000B302D">
        <w:rPr>
          <w:rFonts w:ascii="Verdana" w:eastAsia="Calibri" w:hAnsi="Verdana" w:cs="Calibri Light"/>
          <w:sz w:val="22"/>
          <w:szCs w:val="22"/>
        </w:rPr>
        <w:t xml:space="preserve"> a profunda </w:t>
      </w:r>
      <w:r w:rsidRPr="00890960">
        <w:rPr>
          <w:rFonts w:ascii="Verdana" w:eastAsia="Calibri" w:hAnsi="Verdana" w:cs="Calibri Light"/>
          <w:sz w:val="22"/>
          <w:szCs w:val="22"/>
        </w:rPr>
        <w:t xml:space="preserve">conexão entre a </w:t>
      </w:r>
      <w:r w:rsidRPr="00890960">
        <w:rPr>
          <w:rFonts w:ascii="Verdana" w:eastAsia="Calibri" w:hAnsi="Verdana" w:cs="Calibri Light"/>
          <w:b/>
          <w:bCs/>
          <w:sz w:val="22"/>
          <w:szCs w:val="22"/>
        </w:rPr>
        <w:t>música orquestral e a dança.</w:t>
      </w:r>
    </w:p>
    <w:p w14:paraId="56130C2B" w14:textId="77777777" w:rsidR="00A74F19" w:rsidRPr="00366CC6" w:rsidRDefault="00A74F19" w:rsidP="00A74F19">
      <w:pPr>
        <w:spacing w:line="360" w:lineRule="auto"/>
        <w:jc w:val="both"/>
        <w:rPr>
          <w:rFonts w:ascii="Verdana" w:eastAsia="Verdana" w:hAnsi="Verdana" w:cs="Calibri Light"/>
          <w:b/>
          <w:sz w:val="22"/>
          <w:szCs w:val="22"/>
        </w:rPr>
      </w:pPr>
    </w:p>
    <w:p w14:paraId="33C6AD15" w14:textId="77777777" w:rsidR="00A74F19" w:rsidRDefault="00A74F19" w:rsidP="00A74F19">
      <w:pPr>
        <w:spacing w:line="360" w:lineRule="auto"/>
        <w:jc w:val="both"/>
        <w:rPr>
          <w:rFonts w:ascii="Verdana" w:hAnsi="Verdana" w:cs="Calibri Light"/>
          <w:b/>
          <w:bCs/>
          <w:sz w:val="22"/>
          <w:szCs w:val="22"/>
        </w:rPr>
      </w:pPr>
      <w:bookmarkStart w:id="0" w:name="_2qmh8mksu6g8" w:colFirst="0" w:colLast="0"/>
      <w:bookmarkEnd w:id="0"/>
      <w:r w:rsidRPr="00366CC6">
        <w:rPr>
          <w:rFonts w:ascii="Verdana" w:hAnsi="Verdana" w:cs="Calibri Light"/>
          <w:b/>
          <w:bCs/>
          <w:sz w:val="22"/>
          <w:szCs w:val="22"/>
        </w:rPr>
        <w:t>ORQUESTRA FILARMÔNICA DE MINAS GERAIS</w:t>
      </w:r>
    </w:p>
    <w:p w14:paraId="341B2C53" w14:textId="0786D2A3" w:rsidR="00A74F19" w:rsidRPr="00D60A84" w:rsidRDefault="00A74F19" w:rsidP="00A74F19">
      <w:pPr>
        <w:spacing w:line="360" w:lineRule="auto"/>
        <w:jc w:val="both"/>
        <w:rPr>
          <w:rFonts w:ascii="Verdana" w:hAnsi="Verdana" w:cs="Calibri Light"/>
          <w:sz w:val="22"/>
          <w:szCs w:val="22"/>
        </w:rPr>
      </w:pPr>
      <w:r>
        <w:rPr>
          <w:rFonts w:ascii="Verdana" w:hAnsi="Verdana" w:cs="Calibri Light"/>
          <w:sz w:val="22"/>
          <w:szCs w:val="22"/>
        </w:rPr>
        <w:t>A</w:t>
      </w:r>
      <w:r w:rsidRPr="00D60A84">
        <w:rPr>
          <w:rFonts w:ascii="Verdana" w:hAnsi="Verdana" w:cs="Calibri Light"/>
          <w:sz w:val="22"/>
          <w:szCs w:val="22"/>
        </w:rPr>
        <w:t xml:space="preserve"> Filarmônica de Minas Gerais reafirma, a cada concerto e com uma vigorosa programação, sua vocação pela excelência artística. Referência no Brasil e no mundo desde sua fundação, em 2008, é resultado de uma política pública do Estado de Minas Gerais, seu principal mantenedor. Conduzida por seu Diretor Artístico e Regente Titular, Fabio Mechetti, a Filarmônica é composta por 90 músicos de todas as partes do Brasil, da Europa, da Ásia e das Américas. </w:t>
      </w:r>
    </w:p>
    <w:p w14:paraId="7DC298B4" w14:textId="77777777" w:rsidR="00A74F19" w:rsidRPr="00D60A84" w:rsidRDefault="00A74F19" w:rsidP="00A74F19">
      <w:pPr>
        <w:spacing w:line="360" w:lineRule="auto"/>
        <w:jc w:val="both"/>
        <w:rPr>
          <w:rFonts w:ascii="Verdana" w:hAnsi="Verdana" w:cs="Calibri Light"/>
          <w:sz w:val="22"/>
          <w:szCs w:val="22"/>
        </w:rPr>
      </w:pPr>
      <w:r w:rsidRPr="00D60A84">
        <w:rPr>
          <w:rFonts w:ascii="Verdana" w:hAnsi="Verdana" w:cs="Calibri Light"/>
          <w:sz w:val="22"/>
          <w:szCs w:val="22"/>
        </w:rPr>
        <w:t>A orquestra recebeu numerosas menções e prêmios, possui 18 álbuns gravados e obteve uma indicação ao Grammy Latino em 2020. As temporadas de concertos são realizadas na Sala Minas Gerais, sua sede em Belo Horizonte, em seis séries, sinfônicas e de música de câmara, em que são interpretadas obras do repertório clássico ao contemporâneo, com convidados de destaque nos cenários nacional e internacional.</w:t>
      </w:r>
    </w:p>
    <w:p w14:paraId="39AB8E6E" w14:textId="77777777" w:rsidR="00A74F19" w:rsidRPr="00D60A84" w:rsidRDefault="00A74F19" w:rsidP="00A74F19">
      <w:pPr>
        <w:spacing w:line="360" w:lineRule="auto"/>
        <w:jc w:val="both"/>
        <w:rPr>
          <w:rFonts w:ascii="Verdana" w:hAnsi="Verdana" w:cs="Calibri Light"/>
          <w:sz w:val="22"/>
          <w:szCs w:val="22"/>
        </w:rPr>
      </w:pPr>
      <w:r w:rsidRPr="00D60A84">
        <w:rPr>
          <w:rFonts w:ascii="Verdana" w:hAnsi="Verdana" w:cs="Calibri Light"/>
          <w:sz w:val="22"/>
          <w:szCs w:val="22"/>
        </w:rPr>
        <w:t>Cumprindo com sua missão de difundir e promover o acesso à música de concerto, a Filarmônica mantém relevante programação gratuita e de cunho educacional em Belo Horizonte e outras cidades do estado. Possui, ainda, ações de formação profissional, e realiza transmissões ao vivo de suas apresentações.</w:t>
      </w:r>
    </w:p>
    <w:p w14:paraId="0583DD31" w14:textId="77777777" w:rsidR="00A74F19" w:rsidRPr="00D60A84" w:rsidRDefault="00A74F19" w:rsidP="00A74F19">
      <w:pPr>
        <w:spacing w:line="360" w:lineRule="auto"/>
        <w:jc w:val="both"/>
        <w:rPr>
          <w:rFonts w:ascii="Verdana" w:hAnsi="Verdana" w:cs="Calibri Light"/>
          <w:sz w:val="22"/>
          <w:szCs w:val="22"/>
        </w:rPr>
      </w:pPr>
      <w:r w:rsidRPr="00D60A84">
        <w:rPr>
          <w:rFonts w:ascii="Verdana" w:hAnsi="Verdana" w:cs="Calibri Light"/>
          <w:sz w:val="22"/>
          <w:szCs w:val="22"/>
        </w:rPr>
        <w:t> Referência internacional por seu projeto arquitetônico e acústico, a Sala Minas Gerais é considerada uma das principais salas de concerto da América Latina. Juntas, Filarmônica e Sala Minas Gerais vêm transformando a capital mineira num importante polo da música de concerto.</w:t>
      </w:r>
    </w:p>
    <w:p w14:paraId="7ECF6126" w14:textId="77777777" w:rsidR="00A74F19" w:rsidRPr="00366CC6" w:rsidRDefault="00A74F19" w:rsidP="00A74F19">
      <w:pPr>
        <w:jc w:val="both"/>
        <w:rPr>
          <w:rFonts w:ascii="Verdana" w:eastAsia="Verdana" w:hAnsi="Verdana" w:cs="Calibri Light"/>
          <w:b/>
          <w:sz w:val="22"/>
          <w:szCs w:val="22"/>
        </w:rPr>
      </w:pPr>
      <w:r w:rsidRPr="00366CC6">
        <w:rPr>
          <w:rFonts w:ascii="Verdana" w:eastAsia="Verdana" w:hAnsi="Verdana" w:cs="Calibri Light"/>
          <w:b/>
          <w:sz w:val="22"/>
          <w:szCs w:val="22"/>
        </w:rPr>
        <w:t>SERVIÇO</w:t>
      </w:r>
    </w:p>
    <w:p w14:paraId="40833F2F" w14:textId="77777777" w:rsidR="00A74F19" w:rsidRPr="00366CC6" w:rsidRDefault="00A74F19" w:rsidP="00A74F19">
      <w:pPr>
        <w:jc w:val="both"/>
        <w:rPr>
          <w:rFonts w:ascii="Verdana" w:eastAsia="Verdana" w:hAnsi="Verdana" w:cs="Calibri Light"/>
          <w:b/>
          <w:sz w:val="22"/>
          <w:szCs w:val="22"/>
        </w:rPr>
      </w:pPr>
      <w:r w:rsidRPr="00366CC6">
        <w:rPr>
          <w:rFonts w:ascii="Verdana" w:eastAsia="Verdana" w:hAnsi="Verdana" w:cs="Calibri Light"/>
          <w:b/>
          <w:sz w:val="22"/>
          <w:szCs w:val="22"/>
        </w:rPr>
        <w:t>Assinaturas Filarmônica de Minas Gerais 202</w:t>
      </w:r>
      <w:r>
        <w:rPr>
          <w:rFonts w:ascii="Verdana" w:eastAsia="Verdana" w:hAnsi="Verdana" w:cs="Calibri Light"/>
          <w:b/>
          <w:sz w:val="22"/>
          <w:szCs w:val="22"/>
        </w:rPr>
        <w:t>5</w:t>
      </w:r>
      <w:r w:rsidRPr="00366CC6">
        <w:rPr>
          <w:rFonts w:ascii="Verdana" w:eastAsia="Verdana" w:hAnsi="Verdana" w:cs="Calibri Light"/>
          <w:b/>
          <w:sz w:val="22"/>
          <w:szCs w:val="22"/>
        </w:rPr>
        <w:t xml:space="preserve"> – Segunda Chance</w:t>
      </w:r>
    </w:p>
    <w:p w14:paraId="70478AE8" w14:textId="77777777" w:rsidR="00A74F19" w:rsidRPr="000252F9" w:rsidRDefault="00A74F19" w:rsidP="00A74F19">
      <w:pPr>
        <w:jc w:val="both"/>
        <w:rPr>
          <w:rFonts w:ascii="Verdana" w:eastAsia="Verdana" w:hAnsi="Verdana" w:cs="Calibri Light"/>
          <w:b/>
          <w:bCs/>
          <w:sz w:val="22"/>
          <w:szCs w:val="22"/>
        </w:rPr>
      </w:pPr>
      <w:r w:rsidRPr="000252F9">
        <w:rPr>
          <w:rFonts w:ascii="Verdana" w:eastAsia="Verdana" w:hAnsi="Verdana" w:cs="Calibri Light"/>
          <w:b/>
          <w:bCs/>
          <w:sz w:val="22"/>
          <w:szCs w:val="22"/>
        </w:rPr>
        <w:t xml:space="preserve">Vendas disponíveis até 5 de maio de 2025 </w:t>
      </w:r>
    </w:p>
    <w:p w14:paraId="7D66256B" w14:textId="77777777" w:rsidR="00A74F19" w:rsidRDefault="00A74F19" w:rsidP="00A74F19">
      <w:pPr>
        <w:jc w:val="both"/>
        <w:rPr>
          <w:rFonts w:ascii="Verdana" w:eastAsia="Verdana" w:hAnsi="Verdana" w:cs="Calibri Light"/>
          <w:sz w:val="22"/>
          <w:szCs w:val="22"/>
        </w:rPr>
      </w:pPr>
      <w:r w:rsidRPr="00366CC6">
        <w:rPr>
          <w:rFonts w:ascii="Verdana" w:eastAsia="Verdana" w:hAnsi="Verdana" w:cs="Calibri Light"/>
          <w:sz w:val="22"/>
          <w:szCs w:val="22"/>
        </w:rPr>
        <w:t>Pelo telefone: (31) 3219-9009 (de segunda a sexta, das 9h às 18h)</w:t>
      </w:r>
    </w:p>
    <w:p w14:paraId="3AEF39D3" w14:textId="77777777" w:rsidR="00A74F19" w:rsidRPr="00366CC6" w:rsidRDefault="00A74F19" w:rsidP="00A74F19">
      <w:pPr>
        <w:jc w:val="both"/>
        <w:rPr>
          <w:rFonts w:ascii="Verdana" w:eastAsia="Verdana" w:hAnsi="Verdana" w:cs="Calibri Light"/>
          <w:sz w:val="22"/>
          <w:szCs w:val="22"/>
        </w:rPr>
      </w:pPr>
      <w:r w:rsidRPr="00366CC6">
        <w:rPr>
          <w:rFonts w:ascii="Verdana" w:eastAsia="Verdana" w:hAnsi="Verdana" w:cs="Calibri Light"/>
          <w:sz w:val="22"/>
          <w:szCs w:val="22"/>
        </w:rPr>
        <w:t>Na bilheteria da Sala Minas Gerais:</w:t>
      </w:r>
    </w:p>
    <w:p w14:paraId="068A1B23" w14:textId="77777777" w:rsidR="00A74F19" w:rsidRPr="00366CC6" w:rsidRDefault="00A74F19" w:rsidP="00A74F19">
      <w:pPr>
        <w:jc w:val="both"/>
        <w:rPr>
          <w:rFonts w:ascii="Verdana" w:eastAsia="Verdana" w:hAnsi="Verdana" w:cs="Calibri Light"/>
          <w:sz w:val="22"/>
          <w:szCs w:val="22"/>
        </w:rPr>
      </w:pPr>
      <w:r w:rsidRPr="00366CC6">
        <w:rPr>
          <w:rFonts w:ascii="Verdana" w:eastAsia="Verdana" w:hAnsi="Verdana" w:cs="Calibri Light"/>
          <w:sz w:val="22"/>
          <w:szCs w:val="22"/>
        </w:rPr>
        <w:t>- Rua Tenente Brito Melo, 1090, Barro Preto, Belo Horizonte, MG</w:t>
      </w:r>
    </w:p>
    <w:p w14:paraId="7B3FCC20" w14:textId="77777777" w:rsidR="00A74F19" w:rsidRPr="00366CC6" w:rsidRDefault="00A74F19" w:rsidP="00A74F19">
      <w:pPr>
        <w:jc w:val="both"/>
        <w:rPr>
          <w:rFonts w:ascii="Verdana" w:eastAsia="Verdana" w:hAnsi="Verdana" w:cs="Calibri Light"/>
          <w:sz w:val="22"/>
          <w:szCs w:val="22"/>
        </w:rPr>
      </w:pPr>
      <w:r w:rsidRPr="00366CC6">
        <w:rPr>
          <w:rFonts w:ascii="Verdana" w:eastAsia="Verdana" w:hAnsi="Verdana" w:cs="Calibri Light"/>
          <w:sz w:val="22"/>
          <w:szCs w:val="22"/>
        </w:rPr>
        <w:t xml:space="preserve">- De terça a sexta, das 12h às 20h </w:t>
      </w:r>
    </w:p>
    <w:p w14:paraId="5986F397" w14:textId="77777777" w:rsidR="00A74F19" w:rsidRPr="00366CC6" w:rsidRDefault="00A74F19" w:rsidP="00A74F19">
      <w:pPr>
        <w:jc w:val="both"/>
        <w:rPr>
          <w:rFonts w:ascii="Verdana" w:eastAsia="Verdana" w:hAnsi="Verdana" w:cs="Calibri Light"/>
          <w:sz w:val="22"/>
          <w:szCs w:val="22"/>
        </w:rPr>
      </w:pPr>
      <w:r w:rsidRPr="00366CC6">
        <w:rPr>
          <w:rFonts w:ascii="Verdana" w:eastAsia="Verdana" w:hAnsi="Verdana" w:cs="Calibri Light"/>
          <w:sz w:val="22"/>
          <w:szCs w:val="22"/>
        </w:rPr>
        <w:lastRenderedPageBreak/>
        <w:t>- Sábados, das 12h às 18h</w:t>
      </w:r>
    </w:p>
    <w:p w14:paraId="293BCD63" w14:textId="77777777" w:rsidR="00A74F19" w:rsidRDefault="00A74F19" w:rsidP="00A74F19">
      <w:pPr>
        <w:jc w:val="both"/>
        <w:rPr>
          <w:rFonts w:ascii="Verdana" w:eastAsia="Verdana" w:hAnsi="Verdana" w:cs="Calibri Light"/>
          <w:sz w:val="22"/>
          <w:szCs w:val="22"/>
        </w:rPr>
      </w:pPr>
      <w:r w:rsidRPr="00366CC6">
        <w:rPr>
          <w:rFonts w:ascii="Verdana" w:eastAsia="Verdana" w:hAnsi="Verdana" w:cs="Calibri Light"/>
          <w:sz w:val="22"/>
          <w:szCs w:val="22"/>
        </w:rPr>
        <w:t>- Exceto feriados</w:t>
      </w:r>
    </w:p>
    <w:p w14:paraId="76430728" w14:textId="77777777" w:rsidR="00A74F19" w:rsidRDefault="00A74F19" w:rsidP="00A74F19">
      <w:pPr>
        <w:jc w:val="both"/>
        <w:rPr>
          <w:rFonts w:ascii="Verdana" w:eastAsia="Verdana" w:hAnsi="Verdana" w:cs="Calibri Light"/>
          <w:sz w:val="22"/>
          <w:szCs w:val="22"/>
        </w:rPr>
      </w:pPr>
    </w:p>
    <w:p w14:paraId="04769294" w14:textId="77777777" w:rsidR="00A74F19" w:rsidRPr="00E627CD" w:rsidRDefault="00A74F19" w:rsidP="00A74F19">
      <w:pPr>
        <w:jc w:val="both"/>
        <w:rPr>
          <w:rFonts w:ascii="Verdana" w:eastAsia="Verdana" w:hAnsi="Verdana" w:cs="Calibri Light"/>
          <w:sz w:val="22"/>
          <w:szCs w:val="22"/>
        </w:rPr>
      </w:pPr>
      <w:r w:rsidRPr="00E627CD">
        <w:rPr>
          <w:rFonts w:ascii="Verdana" w:eastAsia="Verdana" w:hAnsi="Verdana" w:cs="Calibri Light"/>
          <w:b/>
          <w:bCs/>
          <w:sz w:val="22"/>
          <w:szCs w:val="22"/>
        </w:rPr>
        <w:t>Formas de pagamento:</w:t>
      </w:r>
      <w:r w:rsidRPr="00E627CD">
        <w:rPr>
          <w:rFonts w:ascii="Verdana" w:eastAsia="Verdana" w:hAnsi="Verdana" w:cs="Calibri Light"/>
          <w:sz w:val="22"/>
          <w:szCs w:val="22"/>
        </w:rPr>
        <w:t> cartão de débito ou 4 vezes dividido no crédito</w:t>
      </w:r>
    </w:p>
    <w:p w14:paraId="1E522C74" w14:textId="2AB169CA" w:rsidR="00A74F19" w:rsidRPr="00366CC6" w:rsidRDefault="00A74F19" w:rsidP="00A74F19">
      <w:pPr>
        <w:jc w:val="both"/>
        <w:rPr>
          <w:rFonts w:ascii="Verdana" w:hAnsi="Verdana" w:cs="Calibri Light"/>
          <w:sz w:val="22"/>
          <w:szCs w:val="22"/>
        </w:rPr>
      </w:pPr>
      <w:r w:rsidRPr="00E627CD">
        <w:rPr>
          <w:rFonts w:ascii="Verdana" w:eastAsia="Verdana" w:hAnsi="Verdana" w:cs="Calibri Light"/>
          <w:sz w:val="22"/>
          <w:szCs w:val="22"/>
        </w:rPr>
        <w:t> </w:t>
      </w:r>
    </w:p>
    <w:p w14:paraId="51802E17" w14:textId="77777777" w:rsidR="00A74F19" w:rsidRPr="00366CC6" w:rsidRDefault="00A74F19" w:rsidP="00A74F19">
      <w:pPr>
        <w:tabs>
          <w:tab w:val="left" w:pos="5729"/>
        </w:tabs>
        <w:jc w:val="both"/>
        <w:rPr>
          <w:rFonts w:ascii="Verdana" w:eastAsia="Verdana" w:hAnsi="Verdana" w:cs="Calibri Light"/>
          <w:b/>
          <w:sz w:val="22"/>
          <w:szCs w:val="22"/>
        </w:rPr>
      </w:pPr>
      <w:r w:rsidRPr="00366CC6">
        <w:rPr>
          <w:rFonts w:ascii="Verdana" w:eastAsia="Verdana" w:hAnsi="Verdana" w:cs="Calibri Light"/>
          <w:b/>
          <w:sz w:val="22"/>
          <w:szCs w:val="22"/>
        </w:rPr>
        <w:t>—</w:t>
      </w:r>
    </w:p>
    <w:p w14:paraId="3D74FAED" w14:textId="77777777" w:rsidR="00A74F19" w:rsidRPr="00366CC6" w:rsidRDefault="00A74F19" w:rsidP="00A74F19">
      <w:pPr>
        <w:tabs>
          <w:tab w:val="left" w:pos="5729"/>
        </w:tabs>
        <w:jc w:val="both"/>
        <w:rPr>
          <w:rFonts w:ascii="Verdana" w:eastAsia="Verdana" w:hAnsi="Verdana" w:cs="Calibri Light"/>
          <w:b/>
          <w:sz w:val="22"/>
          <w:szCs w:val="22"/>
        </w:rPr>
      </w:pPr>
      <w:r w:rsidRPr="00366CC6">
        <w:rPr>
          <w:rFonts w:ascii="Verdana" w:eastAsia="Verdana" w:hAnsi="Verdana" w:cs="Calibri Light"/>
          <w:b/>
          <w:sz w:val="22"/>
          <w:szCs w:val="22"/>
        </w:rPr>
        <w:t xml:space="preserve">INFORMAÇÕES </w:t>
      </w:r>
    </w:p>
    <w:p w14:paraId="4BCB3661" w14:textId="77777777" w:rsidR="00A74F19" w:rsidRPr="00366CC6" w:rsidRDefault="00A74F19" w:rsidP="00A74F19">
      <w:pPr>
        <w:tabs>
          <w:tab w:val="left" w:pos="5729"/>
        </w:tabs>
        <w:jc w:val="both"/>
        <w:rPr>
          <w:rFonts w:ascii="Verdana" w:eastAsia="Verdana" w:hAnsi="Verdana" w:cs="Calibri Light"/>
          <w:b/>
          <w:sz w:val="22"/>
          <w:szCs w:val="22"/>
        </w:rPr>
      </w:pPr>
      <w:r w:rsidRPr="00366CC6">
        <w:rPr>
          <w:rFonts w:ascii="Verdana" w:eastAsia="Verdana" w:hAnsi="Verdana" w:cs="Calibri Light"/>
          <w:b/>
          <w:sz w:val="22"/>
          <w:szCs w:val="22"/>
        </w:rPr>
        <w:t>PARA A IMPRENSA</w:t>
      </w:r>
    </w:p>
    <w:p w14:paraId="5A78F2E8" w14:textId="77777777" w:rsidR="00A74F19" w:rsidRPr="00366CC6" w:rsidRDefault="00A74F19" w:rsidP="00A74F19">
      <w:pPr>
        <w:jc w:val="both"/>
        <w:rPr>
          <w:rFonts w:ascii="Verdana" w:eastAsia="Verdana" w:hAnsi="Verdana" w:cs="Calibri Light"/>
          <w:sz w:val="22"/>
          <w:szCs w:val="22"/>
        </w:rPr>
      </w:pPr>
    </w:p>
    <w:p w14:paraId="6D0B9CB9" w14:textId="77777777" w:rsidR="00A74F19" w:rsidRPr="00366CC6" w:rsidRDefault="00A74F19" w:rsidP="00A74F19">
      <w:pPr>
        <w:jc w:val="both"/>
        <w:rPr>
          <w:rFonts w:ascii="Verdana" w:eastAsia="Verdana" w:hAnsi="Verdana" w:cs="Calibri Light"/>
          <w:b/>
          <w:sz w:val="22"/>
          <w:szCs w:val="22"/>
        </w:rPr>
      </w:pPr>
      <w:r w:rsidRPr="00366CC6">
        <w:rPr>
          <w:rFonts w:ascii="Verdana" w:eastAsia="Verdana" w:hAnsi="Verdana" w:cs="Calibri Light"/>
          <w:b/>
          <w:sz w:val="22"/>
          <w:szCs w:val="22"/>
        </w:rPr>
        <w:t xml:space="preserve">Personal Press </w:t>
      </w:r>
    </w:p>
    <w:p w14:paraId="17261039" w14:textId="77777777" w:rsidR="00A74F19" w:rsidRPr="00366CC6" w:rsidRDefault="00A74F19" w:rsidP="00A74F19">
      <w:pPr>
        <w:jc w:val="both"/>
        <w:rPr>
          <w:rFonts w:ascii="Verdana" w:eastAsia="Verdana" w:hAnsi="Verdana" w:cs="Calibri Light"/>
          <w:sz w:val="22"/>
          <w:szCs w:val="22"/>
        </w:rPr>
      </w:pPr>
      <w:r w:rsidRPr="00366CC6">
        <w:rPr>
          <w:rFonts w:ascii="Verdana" w:eastAsia="Verdana" w:hAnsi="Verdana" w:cs="Calibri Light"/>
          <w:sz w:val="22"/>
          <w:szCs w:val="22"/>
        </w:rPr>
        <w:t xml:space="preserve">Polliane Eliziário </w:t>
      </w:r>
    </w:p>
    <w:p w14:paraId="2A4923EA" w14:textId="77777777" w:rsidR="00A74F19" w:rsidRPr="00366CC6" w:rsidRDefault="00A74F19" w:rsidP="00A74F19">
      <w:pPr>
        <w:jc w:val="both"/>
        <w:rPr>
          <w:rFonts w:ascii="Verdana" w:eastAsia="Verdana" w:hAnsi="Verdana" w:cs="Calibri Light"/>
          <w:b/>
          <w:sz w:val="22"/>
          <w:szCs w:val="22"/>
        </w:rPr>
      </w:pPr>
      <w:hyperlink r:id="rId9">
        <w:r w:rsidRPr="00366CC6">
          <w:rPr>
            <w:rFonts w:ascii="Verdana" w:eastAsia="Verdana" w:hAnsi="Verdana" w:cs="Calibri Light"/>
            <w:i/>
            <w:sz w:val="22"/>
            <w:szCs w:val="22"/>
            <w:u w:val="single"/>
          </w:rPr>
          <w:t>polliane.eliziario@personalpress.jor.br</w:t>
        </w:r>
      </w:hyperlink>
      <w:r w:rsidRPr="00366CC6">
        <w:rPr>
          <w:rFonts w:ascii="Verdana" w:eastAsia="Verdana" w:hAnsi="Verdana" w:cs="Calibri Light"/>
          <w:i/>
          <w:sz w:val="22"/>
          <w:szCs w:val="22"/>
        </w:rPr>
        <w:t xml:space="preserve"> |</w:t>
      </w:r>
      <w:r w:rsidRPr="00366CC6">
        <w:rPr>
          <w:rFonts w:ascii="Verdana" w:eastAsia="Verdana" w:hAnsi="Verdana" w:cs="Calibri Light"/>
          <w:sz w:val="22"/>
          <w:szCs w:val="22"/>
        </w:rPr>
        <w:t xml:space="preserve"> (31) 99788-3029</w:t>
      </w:r>
    </w:p>
    <w:p w14:paraId="52F38D3E" w14:textId="77777777" w:rsidR="00A74F19" w:rsidRPr="00366CC6" w:rsidRDefault="00A74F19" w:rsidP="00A74F19">
      <w:pPr>
        <w:rPr>
          <w:rFonts w:ascii="Verdana" w:hAnsi="Verdana" w:cs="Calibri Light"/>
          <w:sz w:val="22"/>
          <w:szCs w:val="22"/>
        </w:rPr>
      </w:pPr>
    </w:p>
    <w:p w14:paraId="647E5711" w14:textId="77777777" w:rsidR="00A74F19" w:rsidRDefault="00A74F19" w:rsidP="00A74F19"/>
    <w:p w14:paraId="00227293" w14:textId="77777777" w:rsidR="00645E54" w:rsidRPr="00E153F5" w:rsidRDefault="00645E54" w:rsidP="00645E54">
      <w:pPr>
        <w:rPr>
          <w:rFonts w:ascii="Verdana" w:hAnsi="Verdana"/>
          <w:sz w:val="22"/>
          <w:szCs w:val="22"/>
          <w:lang w:val="en-GB"/>
        </w:rPr>
      </w:pPr>
    </w:p>
    <w:p w14:paraId="449227E0" w14:textId="77777777" w:rsidR="00645E54" w:rsidRDefault="00645E54" w:rsidP="00645E54">
      <w:pPr>
        <w:rPr>
          <w:lang w:val="en-GB"/>
        </w:rPr>
      </w:pPr>
    </w:p>
    <w:p w14:paraId="3610983D" w14:textId="77777777" w:rsidR="00645E54" w:rsidRPr="00645E54" w:rsidRDefault="00645E54" w:rsidP="00645E54">
      <w:pPr>
        <w:tabs>
          <w:tab w:val="left" w:pos="5374"/>
        </w:tabs>
        <w:rPr>
          <w:lang w:val="en-GB"/>
        </w:rPr>
      </w:pPr>
      <w:r>
        <w:rPr>
          <w:lang w:val="en-GB"/>
        </w:rPr>
        <w:tab/>
      </w:r>
    </w:p>
    <w:sectPr w:rsidR="00645E54" w:rsidRPr="00645E54" w:rsidSect="006F6ADE">
      <w:headerReference w:type="default" r:id="rId10"/>
      <w:footerReference w:type="even" r:id="rId11"/>
      <w:footerReference w:type="default" r:id="rId12"/>
      <w:pgSz w:w="11906" w:h="16838"/>
      <w:pgMar w:top="2268" w:right="1134" w:bottom="1134"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D20EA" w14:textId="77777777" w:rsidR="00715082" w:rsidRDefault="00715082" w:rsidP="00BD016D">
      <w:r>
        <w:separator/>
      </w:r>
    </w:p>
  </w:endnote>
  <w:endnote w:type="continuationSeparator" w:id="0">
    <w:p w14:paraId="15A9FF3B" w14:textId="77777777" w:rsidR="00715082" w:rsidRDefault="00715082"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2EE24" w14:textId="77777777" w:rsidR="00BD016D" w:rsidRPr="00E56C18" w:rsidRDefault="00F75F29">
    <w:pPr>
      <w:pStyle w:val="Rodap"/>
      <w:rPr>
        <w:lang w:val="en-GB"/>
      </w:rPr>
    </w:pPr>
    <w:sdt>
      <w:sdtPr>
        <w:id w:val="969400743"/>
        <w:temporary/>
        <w:showingPlcHdr/>
      </w:sdtPr>
      <w:sdtEndPr/>
      <w:sdtContent>
        <w:r w:rsidR="00BD016D" w:rsidRPr="00E56C18">
          <w:rPr>
            <w:lang w:val="en-GB"/>
          </w:rPr>
          <w:t>[Type text]</w:t>
        </w:r>
      </w:sdtContent>
    </w:sdt>
    <w:r w:rsidR="00BD016D">
      <w:ptab w:relativeTo="margin" w:alignment="center" w:leader="none"/>
    </w:r>
    <w:sdt>
      <w:sdtPr>
        <w:id w:val="969400748"/>
        <w:temporary/>
        <w:showingPlcHdr/>
      </w:sdtPr>
      <w:sdtEndPr/>
      <w:sdtContent>
        <w:r w:rsidR="00BD016D" w:rsidRPr="00E56C18">
          <w:rPr>
            <w:lang w:val="en-GB"/>
          </w:rPr>
          <w:t>[Type text]</w:t>
        </w:r>
      </w:sdtContent>
    </w:sdt>
    <w:r w:rsidR="00BD016D">
      <w:ptab w:relativeTo="margin" w:alignment="right" w:leader="none"/>
    </w:r>
    <w:sdt>
      <w:sdtPr>
        <w:id w:val="969400753"/>
        <w:temporary/>
        <w:showingPlcHdr/>
      </w:sdtPr>
      <w:sdtEnd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FDCE5" w14:textId="7777777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B7E75" w14:textId="77777777" w:rsidR="00715082" w:rsidRDefault="00715082" w:rsidP="00BD016D">
      <w:r>
        <w:separator/>
      </w:r>
    </w:p>
  </w:footnote>
  <w:footnote w:type="continuationSeparator" w:id="0">
    <w:p w14:paraId="16E58DD7" w14:textId="77777777" w:rsidR="00715082" w:rsidRDefault="00715082"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2DAD7" w14:textId="77777777" w:rsidR="00F73920" w:rsidRPr="00F73920" w:rsidRDefault="00645E54" w:rsidP="00F73920">
    <w:pPr>
      <w:pStyle w:val="Cabealho"/>
    </w:pPr>
    <w:r>
      <w:rPr>
        <w:noProof/>
      </w:rPr>
      <w:drawing>
        <wp:anchor distT="0" distB="0" distL="114300" distR="114300" simplePos="0" relativeHeight="251658240" behindDoc="1" locked="0" layoutInCell="1" allowOverlap="1" wp14:anchorId="6CC1492C" wp14:editId="4E2112EC">
          <wp:simplePos x="0" y="0"/>
          <wp:positionH relativeFrom="column">
            <wp:posOffset>-709930</wp:posOffset>
          </wp:positionH>
          <wp:positionV relativeFrom="paragraph">
            <wp:posOffset>-446902</wp:posOffset>
          </wp:positionV>
          <wp:extent cx="7533861" cy="10648534"/>
          <wp:effectExtent l="0" t="0" r="0" b="0"/>
          <wp:wrapNone/>
          <wp:docPr id="3" name="Picture 3" descr="Orquestra Filarmônica de Minas Gera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Orquestra Filarmônica de Minas Gerais"/>
                  <pic:cNvPicPr/>
                </pic:nvPicPr>
                <pic:blipFill>
                  <a:blip r:embed="rId1"/>
                  <a:stretch>
                    <a:fillRect/>
                  </a:stretch>
                </pic:blipFill>
                <pic:spPr>
                  <a:xfrm>
                    <a:off x="0" y="0"/>
                    <a:ext cx="7533861" cy="1064853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16cid:durableId="2080051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F5"/>
    <w:rsid w:val="000006A3"/>
    <w:rsid w:val="00001D85"/>
    <w:rsid w:val="0000338D"/>
    <w:rsid w:val="00003829"/>
    <w:rsid w:val="00003988"/>
    <w:rsid w:val="0000549F"/>
    <w:rsid w:val="00007093"/>
    <w:rsid w:val="000125A4"/>
    <w:rsid w:val="00015C0F"/>
    <w:rsid w:val="0001618E"/>
    <w:rsid w:val="0001691A"/>
    <w:rsid w:val="0001772F"/>
    <w:rsid w:val="000177A1"/>
    <w:rsid w:val="000208FF"/>
    <w:rsid w:val="00022925"/>
    <w:rsid w:val="00025E59"/>
    <w:rsid w:val="00026124"/>
    <w:rsid w:val="00026814"/>
    <w:rsid w:val="00026BA4"/>
    <w:rsid w:val="00026C3B"/>
    <w:rsid w:val="000336DE"/>
    <w:rsid w:val="0003714E"/>
    <w:rsid w:val="000464E9"/>
    <w:rsid w:val="00046870"/>
    <w:rsid w:val="00046C66"/>
    <w:rsid w:val="00047421"/>
    <w:rsid w:val="000503A7"/>
    <w:rsid w:val="00051432"/>
    <w:rsid w:val="00051BC3"/>
    <w:rsid w:val="00051D65"/>
    <w:rsid w:val="0005309E"/>
    <w:rsid w:val="00053409"/>
    <w:rsid w:val="0005637A"/>
    <w:rsid w:val="000568FF"/>
    <w:rsid w:val="0005697E"/>
    <w:rsid w:val="0005698B"/>
    <w:rsid w:val="00057567"/>
    <w:rsid w:val="00060D41"/>
    <w:rsid w:val="00060DE6"/>
    <w:rsid w:val="000616C4"/>
    <w:rsid w:val="00061ECF"/>
    <w:rsid w:val="000622A0"/>
    <w:rsid w:val="00062922"/>
    <w:rsid w:val="0006326B"/>
    <w:rsid w:val="00063278"/>
    <w:rsid w:val="00063BB2"/>
    <w:rsid w:val="00065AE7"/>
    <w:rsid w:val="000668FB"/>
    <w:rsid w:val="000669A4"/>
    <w:rsid w:val="00067DA8"/>
    <w:rsid w:val="000709CF"/>
    <w:rsid w:val="00071B90"/>
    <w:rsid w:val="000731C6"/>
    <w:rsid w:val="00073BC2"/>
    <w:rsid w:val="000766DD"/>
    <w:rsid w:val="00077532"/>
    <w:rsid w:val="00082D72"/>
    <w:rsid w:val="00083533"/>
    <w:rsid w:val="00083722"/>
    <w:rsid w:val="00084EF2"/>
    <w:rsid w:val="0008659F"/>
    <w:rsid w:val="00086FB0"/>
    <w:rsid w:val="000871D6"/>
    <w:rsid w:val="0009185A"/>
    <w:rsid w:val="00091EF9"/>
    <w:rsid w:val="00094AD9"/>
    <w:rsid w:val="000A0BFB"/>
    <w:rsid w:val="000A5AE9"/>
    <w:rsid w:val="000A73EC"/>
    <w:rsid w:val="000B050F"/>
    <w:rsid w:val="000B0AB5"/>
    <w:rsid w:val="000B0F52"/>
    <w:rsid w:val="000B1006"/>
    <w:rsid w:val="000B11B9"/>
    <w:rsid w:val="000B1759"/>
    <w:rsid w:val="000B2651"/>
    <w:rsid w:val="000B2EA2"/>
    <w:rsid w:val="000B3CE4"/>
    <w:rsid w:val="000B44CC"/>
    <w:rsid w:val="000B4E1D"/>
    <w:rsid w:val="000B4EA2"/>
    <w:rsid w:val="000B5910"/>
    <w:rsid w:val="000B6F42"/>
    <w:rsid w:val="000C09B3"/>
    <w:rsid w:val="000C1870"/>
    <w:rsid w:val="000C2077"/>
    <w:rsid w:val="000C683D"/>
    <w:rsid w:val="000C739A"/>
    <w:rsid w:val="000C73AC"/>
    <w:rsid w:val="000D18C9"/>
    <w:rsid w:val="000D2385"/>
    <w:rsid w:val="000D3EB2"/>
    <w:rsid w:val="000D42FD"/>
    <w:rsid w:val="000D4A80"/>
    <w:rsid w:val="000D7BAC"/>
    <w:rsid w:val="000E0B38"/>
    <w:rsid w:val="000E0D26"/>
    <w:rsid w:val="000E473C"/>
    <w:rsid w:val="000F03D8"/>
    <w:rsid w:val="000F324B"/>
    <w:rsid w:val="000F4BE8"/>
    <w:rsid w:val="000F5030"/>
    <w:rsid w:val="000F5E4C"/>
    <w:rsid w:val="00100092"/>
    <w:rsid w:val="001004D5"/>
    <w:rsid w:val="00102291"/>
    <w:rsid w:val="00102773"/>
    <w:rsid w:val="00102A3B"/>
    <w:rsid w:val="00103809"/>
    <w:rsid w:val="001069A1"/>
    <w:rsid w:val="00107567"/>
    <w:rsid w:val="00110536"/>
    <w:rsid w:val="00111321"/>
    <w:rsid w:val="0011428F"/>
    <w:rsid w:val="001217AE"/>
    <w:rsid w:val="00122AA3"/>
    <w:rsid w:val="001261EC"/>
    <w:rsid w:val="00127957"/>
    <w:rsid w:val="0013526F"/>
    <w:rsid w:val="0013657F"/>
    <w:rsid w:val="00136FFE"/>
    <w:rsid w:val="00141D02"/>
    <w:rsid w:val="00142308"/>
    <w:rsid w:val="0014284B"/>
    <w:rsid w:val="00145305"/>
    <w:rsid w:val="00146B67"/>
    <w:rsid w:val="00146D77"/>
    <w:rsid w:val="001505F4"/>
    <w:rsid w:val="00152AC6"/>
    <w:rsid w:val="0015315F"/>
    <w:rsid w:val="0015349B"/>
    <w:rsid w:val="00154362"/>
    <w:rsid w:val="00154CB8"/>
    <w:rsid w:val="00161830"/>
    <w:rsid w:val="00162637"/>
    <w:rsid w:val="0016275B"/>
    <w:rsid w:val="0016299D"/>
    <w:rsid w:val="00164D0B"/>
    <w:rsid w:val="00164D22"/>
    <w:rsid w:val="0016583F"/>
    <w:rsid w:val="001678A1"/>
    <w:rsid w:val="00172A61"/>
    <w:rsid w:val="00172C96"/>
    <w:rsid w:val="00172F4F"/>
    <w:rsid w:val="001734D4"/>
    <w:rsid w:val="0017484C"/>
    <w:rsid w:val="00177C54"/>
    <w:rsid w:val="001818D5"/>
    <w:rsid w:val="00181B30"/>
    <w:rsid w:val="001823AE"/>
    <w:rsid w:val="00182B38"/>
    <w:rsid w:val="00183DC6"/>
    <w:rsid w:val="001846AC"/>
    <w:rsid w:val="00184A66"/>
    <w:rsid w:val="00184C80"/>
    <w:rsid w:val="001851A0"/>
    <w:rsid w:val="001903EC"/>
    <w:rsid w:val="0019078B"/>
    <w:rsid w:val="00190CFD"/>
    <w:rsid w:val="0019142B"/>
    <w:rsid w:val="00191437"/>
    <w:rsid w:val="00191EAC"/>
    <w:rsid w:val="00192A10"/>
    <w:rsid w:val="00193663"/>
    <w:rsid w:val="00193830"/>
    <w:rsid w:val="00194C9B"/>
    <w:rsid w:val="0019543A"/>
    <w:rsid w:val="0019660D"/>
    <w:rsid w:val="001969E6"/>
    <w:rsid w:val="00197A58"/>
    <w:rsid w:val="001A1611"/>
    <w:rsid w:val="001A19BB"/>
    <w:rsid w:val="001A4A1A"/>
    <w:rsid w:val="001A51B3"/>
    <w:rsid w:val="001A5205"/>
    <w:rsid w:val="001A6190"/>
    <w:rsid w:val="001A6CEE"/>
    <w:rsid w:val="001A6D0B"/>
    <w:rsid w:val="001B23A8"/>
    <w:rsid w:val="001B2860"/>
    <w:rsid w:val="001B50C2"/>
    <w:rsid w:val="001B5230"/>
    <w:rsid w:val="001B552E"/>
    <w:rsid w:val="001B66DB"/>
    <w:rsid w:val="001B7538"/>
    <w:rsid w:val="001C1FC5"/>
    <w:rsid w:val="001C3B9F"/>
    <w:rsid w:val="001C4C7B"/>
    <w:rsid w:val="001C6495"/>
    <w:rsid w:val="001C66C2"/>
    <w:rsid w:val="001D0BD6"/>
    <w:rsid w:val="001D1C34"/>
    <w:rsid w:val="001D4FC1"/>
    <w:rsid w:val="001D55F3"/>
    <w:rsid w:val="001D6CFC"/>
    <w:rsid w:val="001E0A5F"/>
    <w:rsid w:val="001E255D"/>
    <w:rsid w:val="001E291C"/>
    <w:rsid w:val="001E3939"/>
    <w:rsid w:val="001E4D99"/>
    <w:rsid w:val="001E56DC"/>
    <w:rsid w:val="001E601E"/>
    <w:rsid w:val="001E7CF5"/>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7DA"/>
    <w:rsid w:val="00230DE5"/>
    <w:rsid w:val="00231D75"/>
    <w:rsid w:val="002324A9"/>
    <w:rsid w:val="002333C0"/>
    <w:rsid w:val="00234082"/>
    <w:rsid w:val="00235D1B"/>
    <w:rsid w:val="00236937"/>
    <w:rsid w:val="002377C9"/>
    <w:rsid w:val="0024224E"/>
    <w:rsid w:val="002429A6"/>
    <w:rsid w:val="002435B8"/>
    <w:rsid w:val="00243DA7"/>
    <w:rsid w:val="00243F65"/>
    <w:rsid w:val="0024437A"/>
    <w:rsid w:val="002478C0"/>
    <w:rsid w:val="002510D3"/>
    <w:rsid w:val="00252FDA"/>
    <w:rsid w:val="002540F7"/>
    <w:rsid w:val="002546C1"/>
    <w:rsid w:val="00254B6C"/>
    <w:rsid w:val="00254F08"/>
    <w:rsid w:val="0025717D"/>
    <w:rsid w:val="00260BD6"/>
    <w:rsid w:val="00262301"/>
    <w:rsid w:val="00263EF5"/>
    <w:rsid w:val="00263F2A"/>
    <w:rsid w:val="00266974"/>
    <w:rsid w:val="002673E8"/>
    <w:rsid w:val="0027014C"/>
    <w:rsid w:val="002723D9"/>
    <w:rsid w:val="002735B7"/>
    <w:rsid w:val="002757BD"/>
    <w:rsid w:val="00277379"/>
    <w:rsid w:val="00280F8F"/>
    <w:rsid w:val="002824DF"/>
    <w:rsid w:val="002830DF"/>
    <w:rsid w:val="00283E43"/>
    <w:rsid w:val="00284373"/>
    <w:rsid w:val="00290485"/>
    <w:rsid w:val="00290FB0"/>
    <w:rsid w:val="00292575"/>
    <w:rsid w:val="00292B95"/>
    <w:rsid w:val="00295847"/>
    <w:rsid w:val="00295AA4"/>
    <w:rsid w:val="00296AA3"/>
    <w:rsid w:val="002973FA"/>
    <w:rsid w:val="002A022F"/>
    <w:rsid w:val="002A1A01"/>
    <w:rsid w:val="002A244C"/>
    <w:rsid w:val="002A3C0A"/>
    <w:rsid w:val="002A4549"/>
    <w:rsid w:val="002A4FE3"/>
    <w:rsid w:val="002A5079"/>
    <w:rsid w:val="002A6516"/>
    <w:rsid w:val="002A7ACE"/>
    <w:rsid w:val="002B606C"/>
    <w:rsid w:val="002B72FD"/>
    <w:rsid w:val="002C3257"/>
    <w:rsid w:val="002D0656"/>
    <w:rsid w:val="002D3891"/>
    <w:rsid w:val="002D43B1"/>
    <w:rsid w:val="002D6C8D"/>
    <w:rsid w:val="002E1C7D"/>
    <w:rsid w:val="002E3283"/>
    <w:rsid w:val="002E40B0"/>
    <w:rsid w:val="002E4167"/>
    <w:rsid w:val="002E4DAE"/>
    <w:rsid w:val="002E5D46"/>
    <w:rsid w:val="002E5F6D"/>
    <w:rsid w:val="002E7FD8"/>
    <w:rsid w:val="002F037A"/>
    <w:rsid w:val="002F110B"/>
    <w:rsid w:val="002F206D"/>
    <w:rsid w:val="002F26E0"/>
    <w:rsid w:val="002F3F8B"/>
    <w:rsid w:val="002F683B"/>
    <w:rsid w:val="002F7F43"/>
    <w:rsid w:val="003006AF"/>
    <w:rsid w:val="00300AFE"/>
    <w:rsid w:val="00301346"/>
    <w:rsid w:val="00302F9A"/>
    <w:rsid w:val="003052AE"/>
    <w:rsid w:val="00306E59"/>
    <w:rsid w:val="00306ECB"/>
    <w:rsid w:val="00307026"/>
    <w:rsid w:val="00311291"/>
    <w:rsid w:val="00311A14"/>
    <w:rsid w:val="00311CF1"/>
    <w:rsid w:val="00315322"/>
    <w:rsid w:val="00315B1E"/>
    <w:rsid w:val="00321074"/>
    <w:rsid w:val="00325B01"/>
    <w:rsid w:val="003273C6"/>
    <w:rsid w:val="003309E8"/>
    <w:rsid w:val="00332859"/>
    <w:rsid w:val="00333B51"/>
    <w:rsid w:val="00336370"/>
    <w:rsid w:val="0034077E"/>
    <w:rsid w:val="00340E36"/>
    <w:rsid w:val="00342757"/>
    <w:rsid w:val="00343E05"/>
    <w:rsid w:val="0034534D"/>
    <w:rsid w:val="00345870"/>
    <w:rsid w:val="003459AD"/>
    <w:rsid w:val="00347A16"/>
    <w:rsid w:val="003505F0"/>
    <w:rsid w:val="003516B1"/>
    <w:rsid w:val="0035351B"/>
    <w:rsid w:val="0035556C"/>
    <w:rsid w:val="003574B4"/>
    <w:rsid w:val="00360414"/>
    <w:rsid w:val="003610B7"/>
    <w:rsid w:val="003644DE"/>
    <w:rsid w:val="00366EF3"/>
    <w:rsid w:val="0037058C"/>
    <w:rsid w:val="00370DD8"/>
    <w:rsid w:val="0037173B"/>
    <w:rsid w:val="0037321A"/>
    <w:rsid w:val="00373B1E"/>
    <w:rsid w:val="00374ECB"/>
    <w:rsid w:val="003758F7"/>
    <w:rsid w:val="0037741F"/>
    <w:rsid w:val="00383928"/>
    <w:rsid w:val="00384C99"/>
    <w:rsid w:val="003863A8"/>
    <w:rsid w:val="0038651A"/>
    <w:rsid w:val="003867E0"/>
    <w:rsid w:val="003919DE"/>
    <w:rsid w:val="003925DB"/>
    <w:rsid w:val="00392B1D"/>
    <w:rsid w:val="003963C1"/>
    <w:rsid w:val="00396DCC"/>
    <w:rsid w:val="00396E96"/>
    <w:rsid w:val="003A0BC6"/>
    <w:rsid w:val="003A27FB"/>
    <w:rsid w:val="003A4D71"/>
    <w:rsid w:val="003B0E10"/>
    <w:rsid w:val="003B2E96"/>
    <w:rsid w:val="003B3E04"/>
    <w:rsid w:val="003B43BE"/>
    <w:rsid w:val="003B4DCC"/>
    <w:rsid w:val="003B4E03"/>
    <w:rsid w:val="003B7CAB"/>
    <w:rsid w:val="003C020F"/>
    <w:rsid w:val="003C11D0"/>
    <w:rsid w:val="003C2366"/>
    <w:rsid w:val="003C62A4"/>
    <w:rsid w:val="003D06E8"/>
    <w:rsid w:val="003D0B97"/>
    <w:rsid w:val="003D1431"/>
    <w:rsid w:val="003D3453"/>
    <w:rsid w:val="003D3933"/>
    <w:rsid w:val="003D48FB"/>
    <w:rsid w:val="003D4FF0"/>
    <w:rsid w:val="003E315E"/>
    <w:rsid w:val="003E4A42"/>
    <w:rsid w:val="003E5F51"/>
    <w:rsid w:val="003E68A2"/>
    <w:rsid w:val="003E786C"/>
    <w:rsid w:val="003E7F47"/>
    <w:rsid w:val="003F0503"/>
    <w:rsid w:val="003F1697"/>
    <w:rsid w:val="003F21AF"/>
    <w:rsid w:val="003F3649"/>
    <w:rsid w:val="003F4AFC"/>
    <w:rsid w:val="003F5541"/>
    <w:rsid w:val="003F5B54"/>
    <w:rsid w:val="003F6965"/>
    <w:rsid w:val="003F7EE4"/>
    <w:rsid w:val="00400799"/>
    <w:rsid w:val="00401C2F"/>
    <w:rsid w:val="00402211"/>
    <w:rsid w:val="0040253D"/>
    <w:rsid w:val="00402F61"/>
    <w:rsid w:val="004033B7"/>
    <w:rsid w:val="0040376A"/>
    <w:rsid w:val="00405712"/>
    <w:rsid w:val="00405A8B"/>
    <w:rsid w:val="004073EB"/>
    <w:rsid w:val="0041109B"/>
    <w:rsid w:val="00412EC2"/>
    <w:rsid w:val="00413064"/>
    <w:rsid w:val="00414C65"/>
    <w:rsid w:val="00414FCE"/>
    <w:rsid w:val="00415710"/>
    <w:rsid w:val="00420D55"/>
    <w:rsid w:val="00421B70"/>
    <w:rsid w:val="00423A7D"/>
    <w:rsid w:val="00423E1F"/>
    <w:rsid w:val="004257F6"/>
    <w:rsid w:val="0042585A"/>
    <w:rsid w:val="00434772"/>
    <w:rsid w:val="00434C05"/>
    <w:rsid w:val="00435D05"/>
    <w:rsid w:val="00437CB4"/>
    <w:rsid w:val="0044074D"/>
    <w:rsid w:val="00441C8F"/>
    <w:rsid w:val="00450AA7"/>
    <w:rsid w:val="00450D93"/>
    <w:rsid w:val="00452F13"/>
    <w:rsid w:val="00454CCF"/>
    <w:rsid w:val="0045646B"/>
    <w:rsid w:val="00460789"/>
    <w:rsid w:val="0046083F"/>
    <w:rsid w:val="00464849"/>
    <w:rsid w:val="00466901"/>
    <w:rsid w:val="0046693D"/>
    <w:rsid w:val="00474794"/>
    <w:rsid w:val="00475D79"/>
    <w:rsid w:val="00475E1A"/>
    <w:rsid w:val="00476E6E"/>
    <w:rsid w:val="00477253"/>
    <w:rsid w:val="00481919"/>
    <w:rsid w:val="004823D3"/>
    <w:rsid w:val="004825B2"/>
    <w:rsid w:val="00485463"/>
    <w:rsid w:val="004858DF"/>
    <w:rsid w:val="00486D2B"/>
    <w:rsid w:val="0048748F"/>
    <w:rsid w:val="00493A29"/>
    <w:rsid w:val="00494545"/>
    <w:rsid w:val="004951F3"/>
    <w:rsid w:val="0049534D"/>
    <w:rsid w:val="0049559F"/>
    <w:rsid w:val="004A3538"/>
    <w:rsid w:val="004A684D"/>
    <w:rsid w:val="004B2C62"/>
    <w:rsid w:val="004B3349"/>
    <w:rsid w:val="004B47A6"/>
    <w:rsid w:val="004B4844"/>
    <w:rsid w:val="004B7024"/>
    <w:rsid w:val="004C0914"/>
    <w:rsid w:val="004C259C"/>
    <w:rsid w:val="004C4B84"/>
    <w:rsid w:val="004C5E0A"/>
    <w:rsid w:val="004C7AFC"/>
    <w:rsid w:val="004D0094"/>
    <w:rsid w:val="004D050B"/>
    <w:rsid w:val="004D2224"/>
    <w:rsid w:val="004D4BFC"/>
    <w:rsid w:val="004D5A9C"/>
    <w:rsid w:val="004E0BCF"/>
    <w:rsid w:val="004E0F9F"/>
    <w:rsid w:val="004E28A1"/>
    <w:rsid w:val="004E3164"/>
    <w:rsid w:val="004E38FB"/>
    <w:rsid w:val="004E6218"/>
    <w:rsid w:val="004E675A"/>
    <w:rsid w:val="004F17AE"/>
    <w:rsid w:val="004F2787"/>
    <w:rsid w:val="004F31C8"/>
    <w:rsid w:val="004F3589"/>
    <w:rsid w:val="004F3DAB"/>
    <w:rsid w:val="004F3DC7"/>
    <w:rsid w:val="004F4FF3"/>
    <w:rsid w:val="004F5DC9"/>
    <w:rsid w:val="004F62A5"/>
    <w:rsid w:val="004F6709"/>
    <w:rsid w:val="004F7622"/>
    <w:rsid w:val="004F7985"/>
    <w:rsid w:val="00500E0F"/>
    <w:rsid w:val="0050186F"/>
    <w:rsid w:val="00502237"/>
    <w:rsid w:val="00502704"/>
    <w:rsid w:val="00503153"/>
    <w:rsid w:val="00503CF5"/>
    <w:rsid w:val="005053DF"/>
    <w:rsid w:val="005056FD"/>
    <w:rsid w:val="005057EA"/>
    <w:rsid w:val="00506334"/>
    <w:rsid w:val="00506730"/>
    <w:rsid w:val="00510B2A"/>
    <w:rsid w:val="005118DB"/>
    <w:rsid w:val="005138FC"/>
    <w:rsid w:val="00516448"/>
    <w:rsid w:val="0051732C"/>
    <w:rsid w:val="00517B99"/>
    <w:rsid w:val="00520195"/>
    <w:rsid w:val="00521816"/>
    <w:rsid w:val="00521F9E"/>
    <w:rsid w:val="00522D47"/>
    <w:rsid w:val="00523E49"/>
    <w:rsid w:val="00524923"/>
    <w:rsid w:val="00525ADD"/>
    <w:rsid w:val="00526943"/>
    <w:rsid w:val="005322B8"/>
    <w:rsid w:val="0053316E"/>
    <w:rsid w:val="00534238"/>
    <w:rsid w:val="005357F5"/>
    <w:rsid w:val="00535B3D"/>
    <w:rsid w:val="00535ECD"/>
    <w:rsid w:val="0053658D"/>
    <w:rsid w:val="00536D96"/>
    <w:rsid w:val="005371D4"/>
    <w:rsid w:val="0054085D"/>
    <w:rsid w:val="00541F3C"/>
    <w:rsid w:val="00543A79"/>
    <w:rsid w:val="00550CD9"/>
    <w:rsid w:val="005554BA"/>
    <w:rsid w:val="00555B49"/>
    <w:rsid w:val="0055733F"/>
    <w:rsid w:val="00557980"/>
    <w:rsid w:val="005600E7"/>
    <w:rsid w:val="00560399"/>
    <w:rsid w:val="005616B7"/>
    <w:rsid w:val="00567092"/>
    <w:rsid w:val="00567828"/>
    <w:rsid w:val="00567FC5"/>
    <w:rsid w:val="0057043F"/>
    <w:rsid w:val="00570813"/>
    <w:rsid w:val="005709C5"/>
    <w:rsid w:val="00574D52"/>
    <w:rsid w:val="0057596C"/>
    <w:rsid w:val="0058156D"/>
    <w:rsid w:val="00582CCA"/>
    <w:rsid w:val="00584899"/>
    <w:rsid w:val="005878EC"/>
    <w:rsid w:val="00590C8D"/>
    <w:rsid w:val="00591FB9"/>
    <w:rsid w:val="00592887"/>
    <w:rsid w:val="005A356F"/>
    <w:rsid w:val="005A3C22"/>
    <w:rsid w:val="005A450B"/>
    <w:rsid w:val="005A68B7"/>
    <w:rsid w:val="005A6A86"/>
    <w:rsid w:val="005A6D89"/>
    <w:rsid w:val="005A7128"/>
    <w:rsid w:val="005A7BF0"/>
    <w:rsid w:val="005B11B8"/>
    <w:rsid w:val="005B1737"/>
    <w:rsid w:val="005B198C"/>
    <w:rsid w:val="005B21CC"/>
    <w:rsid w:val="005B286E"/>
    <w:rsid w:val="005B364F"/>
    <w:rsid w:val="005B3659"/>
    <w:rsid w:val="005B4F09"/>
    <w:rsid w:val="005B5732"/>
    <w:rsid w:val="005B5F86"/>
    <w:rsid w:val="005B6C74"/>
    <w:rsid w:val="005B7C2C"/>
    <w:rsid w:val="005C0FA5"/>
    <w:rsid w:val="005C25AF"/>
    <w:rsid w:val="005C4485"/>
    <w:rsid w:val="005C4D49"/>
    <w:rsid w:val="005C5319"/>
    <w:rsid w:val="005C554F"/>
    <w:rsid w:val="005C567F"/>
    <w:rsid w:val="005C61DB"/>
    <w:rsid w:val="005C78EC"/>
    <w:rsid w:val="005C7A1E"/>
    <w:rsid w:val="005D04FF"/>
    <w:rsid w:val="005D0698"/>
    <w:rsid w:val="005D0705"/>
    <w:rsid w:val="005D0978"/>
    <w:rsid w:val="005D2C3B"/>
    <w:rsid w:val="005D3E6C"/>
    <w:rsid w:val="005D52A5"/>
    <w:rsid w:val="005D7333"/>
    <w:rsid w:val="005E3053"/>
    <w:rsid w:val="005E3156"/>
    <w:rsid w:val="005E597D"/>
    <w:rsid w:val="005F1058"/>
    <w:rsid w:val="005F1953"/>
    <w:rsid w:val="005F2018"/>
    <w:rsid w:val="005F62C8"/>
    <w:rsid w:val="005F7725"/>
    <w:rsid w:val="005F799E"/>
    <w:rsid w:val="00600163"/>
    <w:rsid w:val="0060459B"/>
    <w:rsid w:val="00604BE3"/>
    <w:rsid w:val="00610A4A"/>
    <w:rsid w:val="0061359A"/>
    <w:rsid w:val="00613A2C"/>
    <w:rsid w:val="00616283"/>
    <w:rsid w:val="00617FF6"/>
    <w:rsid w:val="00621A79"/>
    <w:rsid w:val="00623BAD"/>
    <w:rsid w:val="006253BD"/>
    <w:rsid w:val="00627212"/>
    <w:rsid w:val="00627667"/>
    <w:rsid w:val="00630FF5"/>
    <w:rsid w:val="00631795"/>
    <w:rsid w:val="006346CE"/>
    <w:rsid w:val="00635622"/>
    <w:rsid w:val="00635AF0"/>
    <w:rsid w:val="00643405"/>
    <w:rsid w:val="0064391E"/>
    <w:rsid w:val="00644285"/>
    <w:rsid w:val="00644719"/>
    <w:rsid w:val="00645E54"/>
    <w:rsid w:val="00647D52"/>
    <w:rsid w:val="006567A6"/>
    <w:rsid w:val="00660040"/>
    <w:rsid w:val="00661627"/>
    <w:rsid w:val="00661A06"/>
    <w:rsid w:val="00661E94"/>
    <w:rsid w:val="00662E0E"/>
    <w:rsid w:val="0066334D"/>
    <w:rsid w:val="006643C0"/>
    <w:rsid w:val="00671970"/>
    <w:rsid w:val="00673941"/>
    <w:rsid w:val="00674386"/>
    <w:rsid w:val="00674F93"/>
    <w:rsid w:val="00675DA8"/>
    <w:rsid w:val="00676D9E"/>
    <w:rsid w:val="00677309"/>
    <w:rsid w:val="006809F2"/>
    <w:rsid w:val="00682057"/>
    <w:rsid w:val="00682FE6"/>
    <w:rsid w:val="00685AEB"/>
    <w:rsid w:val="00691DEB"/>
    <w:rsid w:val="00695BBF"/>
    <w:rsid w:val="0069786F"/>
    <w:rsid w:val="006A0443"/>
    <w:rsid w:val="006A04CC"/>
    <w:rsid w:val="006A06FD"/>
    <w:rsid w:val="006A3BCB"/>
    <w:rsid w:val="006A5BB8"/>
    <w:rsid w:val="006A7F75"/>
    <w:rsid w:val="006B032A"/>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68E3"/>
    <w:rsid w:val="006D7631"/>
    <w:rsid w:val="006E013B"/>
    <w:rsid w:val="006E158F"/>
    <w:rsid w:val="006E349F"/>
    <w:rsid w:val="006E6670"/>
    <w:rsid w:val="006E6F50"/>
    <w:rsid w:val="006E7B0F"/>
    <w:rsid w:val="006F254A"/>
    <w:rsid w:val="006F4484"/>
    <w:rsid w:val="006F4A1B"/>
    <w:rsid w:val="006F6ADE"/>
    <w:rsid w:val="006F6B12"/>
    <w:rsid w:val="0070058F"/>
    <w:rsid w:val="00702A3E"/>
    <w:rsid w:val="00704A1B"/>
    <w:rsid w:val="00704B5B"/>
    <w:rsid w:val="00707BE9"/>
    <w:rsid w:val="007115A9"/>
    <w:rsid w:val="00711B62"/>
    <w:rsid w:val="00711CB2"/>
    <w:rsid w:val="00713A01"/>
    <w:rsid w:val="007148E9"/>
    <w:rsid w:val="00715082"/>
    <w:rsid w:val="00716A59"/>
    <w:rsid w:val="00716E63"/>
    <w:rsid w:val="007226CB"/>
    <w:rsid w:val="007237D4"/>
    <w:rsid w:val="00723B72"/>
    <w:rsid w:val="00724020"/>
    <w:rsid w:val="00727BFE"/>
    <w:rsid w:val="007315D1"/>
    <w:rsid w:val="0073328D"/>
    <w:rsid w:val="00733F39"/>
    <w:rsid w:val="0073488B"/>
    <w:rsid w:val="007369E8"/>
    <w:rsid w:val="00736A9F"/>
    <w:rsid w:val="00737E04"/>
    <w:rsid w:val="007449BC"/>
    <w:rsid w:val="00744F0C"/>
    <w:rsid w:val="00745285"/>
    <w:rsid w:val="0074564D"/>
    <w:rsid w:val="00747C27"/>
    <w:rsid w:val="00752F47"/>
    <w:rsid w:val="00754EA6"/>
    <w:rsid w:val="0075667F"/>
    <w:rsid w:val="00756884"/>
    <w:rsid w:val="007604A9"/>
    <w:rsid w:val="00760A38"/>
    <w:rsid w:val="00760F7B"/>
    <w:rsid w:val="00761DBA"/>
    <w:rsid w:val="007704AE"/>
    <w:rsid w:val="00771B36"/>
    <w:rsid w:val="00772D1F"/>
    <w:rsid w:val="007742D6"/>
    <w:rsid w:val="00774E6A"/>
    <w:rsid w:val="0077680A"/>
    <w:rsid w:val="00777149"/>
    <w:rsid w:val="00780B5D"/>
    <w:rsid w:val="00780E82"/>
    <w:rsid w:val="00782FAA"/>
    <w:rsid w:val="00783C42"/>
    <w:rsid w:val="00783D1A"/>
    <w:rsid w:val="0078570A"/>
    <w:rsid w:val="00786100"/>
    <w:rsid w:val="00787033"/>
    <w:rsid w:val="00787C98"/>
    <w:rsid w:val="00787F62"/>
    <w:rsid w:val="007913BB"/>
    <w:rsid w:val="00791610"/>
    <w:rsid w:val="007918C4"/>
    <w:rsid w:val="00794423"/>
    <w:rsid w:val="00795DEE"/>
    <w:rsid w:val="007967D6"/>
    <w:rsid w:val="007978BB"/>
    <w:rsid w:val="007A0014"/>
    <w:rsid w:val="007A04EE"/>
    <w:rsid w:val="007A0D47"/>
    <w:rsid w:val="007A2E9D"/>
    <w:rsid w:val="007A647A"/>
    <w:rsid w:val="007B06D4"/>
    <w:rsid w:val="007B2F5C"/>
    <w:rsid w:val="007B3AF0"/>
    <w:rsid w:val="007B4C64"/>
    <w:rsid w:val="007B591D"/>
    <w:rsid w:val="007C0082"/>
    <w:rsid w:val="007C25DE"/>
    <w:rsid w:val="007C3D3C"/>
    <w:rsid w:val="007C4C1F"/>
    <w:rsid w:val="007C599F"/>
    <w:rsid w:val="007D0F02"/>
    <w:rsid w:val="007D1416"/>
    <w:rsid w:val="007D30D7"/>
    <w:rsid w:val="007D3978"/>
    <w:rsid w:val="007D46FC"/>
    <w:rsid w:val="007D663A"/>
    <w:rsid w:val="007D69EE"/>
    <w:rsid w:val="007E07C9"/>
    <w:rsid w:val="007E22E0"/>
    <w:rsid w:val="007E3518"/>
    <w:rsid w:val="007E46FC"/>
    <w:rsid w:val="007E4ED0"/>
    <w:rsid w:val="007E6486"/>
    <w:rsid w:val="007F10A2"/>
    <w:rsid w:val="007F136A"/>
    <w:rsid w:val="007F2FD2"/>
    <w:rsid w:val="007F3AF6"/>
    <w:rsid w:val="007F4165"/>
    <w:rsid w:val="008000A4"/>
    <w:rsid w:val="00801DB2"/>
    <w:rsid w:val="0080253B"/>
    <w:rsid w:val="00802542"/>
    <w:rsid w:val="008053C9"/>
    <w:rsid w:val="00805F01"/>
    <w:rsid w:val="00805F41"/>
    <w:rsid w:val="008073FC"/>
    <w:rsid w:val="008076B9"/>
    <w:rsid w:val="00807905"/>
    <w:rsid w:val="00807DEE"/>
    <w:rsid w:val="00811836"/>
    <w:rsid w:val="0081199D"/>
    <w:rsid w:val="0081406F"/>
    <w:rsid w:val="0081419F"/>
    <w:rsid w:val="00814876"/>
    <w:rsid w:val="0081592E"/>
    <w:rsid w:val="00816251"/>
    <w:rsid w:val="008169C2"/>
    <w:rsid w:val="00816C7A"/>
    <w:rsid w:val="008175FF"/>
    <w:rsid w:val="00821788"/>
    <w:rsid w:val="00822F2E"/>
    <w:rsid w:val="00831B88"/>
    <w:rsid w:val="008355DA"/>
    <w:rsid w:val="00835E70"/>
    <w:rsid w:val="00837ADD"/>
    <w:rsid w:val="00837F84"/>
    <w:rsid w:val="008411F0"/>
    <w:rsid w:val="00841B76"/>
    <w:rsid w:val="008423B6"/>
    <w:rsid w:val="008437E1"/>
    <w:rsid w:val="008459F3"/>
    <w:rsid w:val="0084719C"/>
    <w:rsid w:val="0085126D"/>
    <w:rsid w:val="00852F78"/>
    <w:rsid w:val="00853D3D"/>
    <w:rsid w:val="0086001C"/>
    <w:rsid w:val="00860778"/>
    <w:rsid w:val="00861CCE"/>
    <w:rsid w:val="00861D45"/>
    <w:rsid w:val="00862046"/>
    <w:rsid w:val="008629A4"/>
    <w:rsid w:val="0086369D"/>
    <w:rsid w:val="00864803"/>
    <w:rsid w:val="00865B57"/>
    <w:rsid w:val="008669CD"/>
    <w:rsid w:val="00866D62"/>
    <w:rsid w:val="00866F83"/>
    <w:rsid w:val="00867A1B"/>
    <w:rsid w:val="00871549"/>
    <w:rsid w:val="00875AE5"/>
    <w:rsid w:val="00877600"/>
    <w:rsid w:val="00877C0A"/>
    <w:rsid w:val="00880FB3"/>
    <w:rsid w:val="00881355"/>
    <w:rsid w:val="00882A38"/>
    <w:rsid w:val="0088304E"/>
    <w:rsid w:val="00883D06"/>
    <w:rsid w:val="008865CF"/>
    <w:rsid w:val="008868A1"/>
    <w:rsid w:val="008927A0"/>
    <w:rsid w:val="008963E5"/>
    <w:rsid w:val="00896CDD"/>
    <w:rsid w:val="0089741D"/>
    <w:rsid w:val="00897BE4"/>
    <w:rsid w:val="008A1511"/>
    <w:rsid w:val="008A27B6"/>
    <w:rsid w:val="008A42CB"/>
    <w:rsid w:val="008A66C0"/>
    <w:rsid w:val="008A7CE9"/>
    <w:rsid w:val="008B1342"/>
    <w:rsid w:val="008B1EB3"/>
    <w:rsid w:val="008B2259"/>
    <w:rsid w:val="008B68D6"/>
    <w:rsid w:val="008C0FE8"/>
    <w:rsid w:val="008C10AF"/>
    <w:rsid w:val="008C3051"/>
    <w:rsid w:val="008C3D09"/>
    <w:rsid w:val="008D298B"/>
    <w:rsid w:val="008D3D4B"/>
    <w:rsid w:val="008D68AD"/>
    <w:rsid w:val="008E12C0"/>
    <w:rsid w:val="008E3832"/>
    <w:rsid w:val="008E511D"/>
    <w:rsid w:val="008E6F0E"/>
    <w:rsid w:val="008E7660"/>
    <w:rsid w:val="008E7B2E"/>
    <w:rsid w:val="008F09CD"/>
    <w:rsid w:val="008F0FE6"/>
    <w:rsid w:val="008F48C4"/>
    <w:rsid w:val="008F6857"/>
    <w:rsid w:val="009003E5"/>
    <w:rsid w:val="00901048"/>
    <w:rsid w:val="00903867"/>
    <w:rsid w:val="009042A0"/>
    <w:rsid w:val="009055BB"/>
    <w:rsid w:val="009059FD"/>
    <w:rsid w:val="009133CF"/>
    <w:rsid w:val="00913801"/>
    <w:rsid w:val="00913D55"/>
    <w:rsid w:val="009145CA"/>
    <w:rsid w:val="00914BD2"/>
    <w:rsid w:val="00914D12"/>
    <w:rsid w:val="00916F72"/>
    <w:rsid w:val="00917BF0"/>
    <w:rsid w:val="0092002A"/>
    <w:rsid w:val="0092265B"/>
    <w:rsid w:val="009247B6"/>
    <w:rsid w:val="009252A2"/>
    <w:rsid w:val="0093073C"/>
    <w:rsid w:val="009318AB"/>
    <w:rsid w:val="00932CFA"/>
    <w:rsid w:val="00936A1C"/>
    <w:rsid w:val="00936F0C"/>
    <w:rsid w:val="00942A47"/>
    <w:rsid w:val="00942B7A"/>
    <w:rsid w:val="0094430B"/>
    <w:rsid w:val="0094445C"/>
    <w:rsid w:val="00944559"/>
    <w:rsid w:val="00956B64"/>
    <w:rsid w:val="00957381"/>
    <w:rsid w:val="00960CD4"/>
    <w:rsid w:val="00962BD0"/>
    <w:rsid w:val="00963B83"/>
    <w:rsid w:val="00963C3B"/>
    <w:rsid w:val="00965A09"/>
    <w:rsid w:val="009662FB"/>
    <w:rsid w:val="00972E5A"/>
    <w:rsid w:val="00972E87"/>
    <w:rsid w:val="00974151"/>
    <w:rsid w:val="00974D73"/>
    <w:rsid w:val="00981173"/>
    <w:rsid w:val="00981EA3"/>
    <w:rsid w:val="00986C08"/>
    <w:rsid w:val="009902A7"/>
    <w:rsid w:val="00991CA2"/>
    <w:rsid w:val="00992D0D"/>
    <w:rsid w:val="0099408A"/>
    <w:rsid w:val="009952C9"/>
    <w:rsid w:val="009960B1"/>
    <w:rsid w:val="00996511"/>
    <w:rsid w:val="009A0584"/>
    <w:rsid w:val="009A081E"/>
    <w:rsid w:val="009A2585"/>
    <w:rsid w:val="009A324F"/>
    <w:rsid w:val="009A4E02"/>
    <w:rsid w:val="009B2769"/>
    <w:rsid w:val="009B2BA3"/>
    <w:rsid w:val="009B2BFD"/>
    <w:rsid w:val="009C4579"/>
    <w:rsid w:val="009C76C5"/>
    <w:rsid w:val="009C7E92"/>
    <w:rsid w:val="009D08C0"/>
    <w:rsid w:val="009D1826"/>
    <w:rsid w:val="009D1B06"/>
    <w:rsid w:val="009D2C72"/>
    <w:rsid w:val="009D38E1"/>
    <w:rsid w:val="009D55BE"/>
    <w:rsid w:val="009D6F59"/>
    <w:rsid w:val="009D7A81"/>
    <w:rsid w:val="009E095A"/>
    <w:rsid w:val="009E0DFC"/>
    <w:rsid w:val="009E4BAB"/>
    <w:rsid w:val="009E56C3"/>
    <w:rsid w:val="009E675D"/>
    <w:rsid w:val="009E6A76"/>
    <w:rsid w:val="009E711B"/>
    <w:rsid w:val="009F4219"/>
    <w:rsid w:val="009F5CF6"/>
    <w:rsid w:val="009F6DFD"/>
    <w:rsid w:val="009F722A"/>
    <w:rsid w:val="009F7626"/>
    <w:rsid w:val="00A018AA"/>
    <w:rsid w:val="00A05E1C"/>
    <w:rsid w:val="00A07481"/>
    <w:rsid w:val="00A07B74"/>
    <w:rsid w:val="00A12884"/>
    <w:rsid w:val="00A15935"/>
    <w:rsid w:val="00A1642F"/>
    <w:rsid w:val="00A1665D"/>
    <w:rsid w:val="00A206A9"/>
    <w:rsid w:val="00A251EB"/>
    <w:rsid w:val="00A26046"/>
    <w:rsid w:val="00A27178"/>
    <w:rsid w:val="00A2787C"/>
    <w:rsid w:val="00A3003E"/>
    <w:rsid w:val="00A31515"/>
    <w:rsid w:val="00A32679"/>
    <w:rsid w:val="00A33692"/>
    <w:rsid w:val="00A33A61"/>
    <w:rsid w:val="00A3560A"/>
    <w:rsid w:val="00A364D8"/>
    <w:rsid w:val="00A36A81"/>
    <w:rsid w:val="00A37E11"/>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5549"/>
    <w:rsid w:val="00A66540"/>
    <w:rsid w:val="00A670FD"/>
    <w:rsid w:val="00A719E5"/>
    <w:rsid w:val="00A74DC4"/>
    <w:rsid w:val="00A74F19"/>
    <w:rsid w:val="00A75A21"/>
    <w:rsid w:val="00A75C43"/>
    <w:rsid w:val="00A807AE"/>
    <w:rsid w:val="00A80CBE"/>
    <w:rsid w:val="00A8371F"/>
    <w:rsid w:val="00A8400F"/>
    <w:rsid w:val="00A90351"/>
    <w:rsid w:val="00A90C52"/>
    <w:rsid w:val="00A926C7"/>
    <w:rsid w:val="00A92BA6"/>
    <w:rsid w:val="00A939ED"/>
    <w:rsid w:val="00A94BE6"/>
    <w:rsid w:val="00A95275"/>
    <w:rsid w:val="00AA0783"/>
    <w:rsid w:val="00AA15AD"/>
    <w:rsid w:val="00AA1D30"/>
    <w:rsid w:val="00AA2E3A"/>
    <w:rsid w:val="00AA4177"/>
    <w:rsid w:val="00AA6A0A"/>
    <w:rsid w:val="00AA6D33"/>
    <w:rsid w:val="00AB046A"/>
    <w:rsid w:val="00AB3593"/>
    <w:rsid w:val="00AB6431"/>
    <w:rsid w:val="00AC0240"/>
    <w:rsid w:val="00AC0D76"/>
    <w:rsid w:val="00AC13DC"/>
    <w:rsid w:val="00AC19FB"/>
    <w:rsid w:val="00AC5462"/>
    <w:rsid w:val="00AC565B"/>
    <w:rsid w:val="00AC63C3"/>
    <w:rsid w:val="00AC7660"/>
    <w:rsid w:val="00AD0FE5"/>
    <w:rsid w:val="00AD1726"/>
    <w:rsid w:val="00AD4CB9"/>
    <w:rsid w:val="00AD4DAF"/>
    <w:rsid w:val="00AD6162"/>
    <w:rsid w:val="00AD7AB1"/>
    <w:rsid w:val="00AE25AC"/>
    <w:rsid w:val="00AE4145"/>
    <w:rsid w:val="00AE579B"/>
    <w:rsid w:val="00AF0432"/>
    <w:rsid w:val="00AF4053"/>
    <w:rsid w:val="00AF4E13"/>
    <w:rsid w:val="00B043B7"/>
    <w:rsid w:val="00B131EC"/>
    <w:rsid w:val="00B13B63"/>
    <w:rsid w:val="00B14A11"/>
    <w:rsid w:val="00B22DFC"/>
    <w:rsid w:val="00B24A50"/>
    <w:rsid w:val="00B25247"/>
    <w:rsid w:val="00B26601"/>
    <w:rsid w:val="00B27658"/>
    <w:rsid w:val="00B27F5D"/>
    <w:rsid w:val="00B30B4B"/>
    <w:rsid w:val="00B3156D"/>
    <w:rsid w:val="00B319BA"/>
    <w:rsid w:val="00B32179"/>
    <w:rsid w:val="00B32336"/>
    <w:rsid w:val="00B33069"/>
    <w:rsid w:val="00B332FC"/>
    <w:rsid w:val="00B35FA9"/>
    <w:rsid w:val="00B378C1"/>
    <w:rsid w:val="00B41A98"/>
    <w:rsid w:val="00B4266A"/>
    <w:rsid w:val="00B430D3"/>
    <w:rsid w:val="00B469CE"/>
    <w:rsid w:val="00B475CF"/>
    <w:rsid w:val="00B476D9"/>
    <w:rsid w:val="00B5024D"/>
    <w:rsid w:val="00B524E0"/>
    <w:rsid w:val="00B54022"/>
    <w:rsid w:val="00B54109"/>
    <w:rsid w:val="00B5503C"/>
    <w:rsid w:val="00B56B69"/>
    <w:rsid w:val="00B57BA7"/>
    <w:rsid w:val="00B605A8"/>
    <w:rsid w:val="00B63194"/>
    <w:rsid w:val="00B63BE0"/>
    <w:rsid w:val="00B6497E"/>
    <w:rsid w:val="00B65A2E"/>
    <w:rsid w:val="00B670D1"/>
    <w:rsid w:val="00B67D49"/>
    <w:rsid w:val="00B70627"/>
    <w:rsid w:val="00B70E8F"/>
    <w:rsid w:val="00B71973"/>
    <w:rsid w:val="00B71F2C"/>
    <w:rsid w:val="00B7555D"/>
    <w:rsid w:val="00B75F32"/>
    <w:rsid w:val="00B76465"/>
    <w:rsid w:val="00B76BB1"/>
    <w:rsid w:val="00B77C0E"/>
    <w:rsid w:val="00B815E5"/>
    <w:rsid w:val="00B82957"/>
    <w:rsid w:val="00B82A68"/>
    <w:rsid w:val="00B844ED"/>
    <w:rsid w:val="00B861D5"/>
    <w:rsid w:val="00B90C16"/>
    <w:rsid w:val="00B91E38"/>
    <w:rsid w:val="00B92A42"/>
    <w:rsid w:val="00B972C4"/>
    <w:rsid w:val="00B973EE"/>
    <w:rsid w:val="00BA0F67"/>
    <w:rsid w:val="00BA2DF6"/>
    <w:rsid w:val="00BA6EA5"/>
    <w:rsid w:val="00BB1B54"/>
    <w:rsid w:val="00BB3D8B"/>
    <w:rsid w:val="00BB4968"/>
    <w:rsid w:val="00BB5028"/>
    <w:rsid w:val="00BB598A"/>
    <w:rsid w:val="00BB64F9"/>
    <w:rsid w:val="00BB7266"/>
    <w:rsid w:val="00BC06FE"/>
    <w:rsid w:val="00BC107E"/>
    <w:rsid w:val="00BC2E9A"/>
    <w:rsid w:val="00BC3331"/>
    <w:rsid w:val="00BC7B6F"/>
    <w:rsid w:val="00BD016D"/>
    <w:rsid w:val="00BD2190"/>
    <w:rsid w:val="00BD2F23"/>
    <w:rsid w:val="00BD33DF"/>
    <w:rsid w:val="00BD6C10"/>
    <w:rsid w:val="00BE1A40"/>
    <w:rsid w:val="00BE26CF"/>
    <w:rsid w:val="00BE2A7D"/>
    <w:rsid w:val="00BE3C12"/>
    <w:rsid w:val="00BE3F6D"/>
    <w:rsid w:val="00BE6154"/>
    <w:rsid w:val="00BF2383"/>
    <w:rsid w:val="00BF384D"/>
    <w:rsid w:val="00BF7C90"/>
    <w:rsid w:val="00C0002B"/>
    <w:rsid w:val="00C0046F"/>
    <w:rsid w:val="00C0073C"/>
    <w:rsid w:val="00C01C53"/>
    <w:rsid w:val="00C0339D"/>
    <w:rsid w:val="00C03782"/>
    <w:rsid w:val="00C0395D"/>
    <w:rsid w:val="00C04C47"/>
    <w:rsid w:val="00C06853"/>
    <w:rsid w:val="00C11DEC"/>
    <w:rsid w:val="00C1242F"/>
    <w:rsid w:val="00C12C42"/>
    <w:rsid w:val="00C151EC"/>
    <w:rsid w:val="00C15F79"/>
    <w:rsid w:val="00C16C76"/>
    <w:rsid w:val="00C20256"/>
    <w:rsid w:val="00C2072B"/>
    <w:rsid w:val="00C20A62"/>
    <w:rsid w:val="00C2165C"/>
    <w:rsid w:val="00C22A48"/>
    <w:rsid w:val="00C2486E"/>
    <w:rsid w:val="00C25D74"/>
    <w:rsid w:val="00C26199"/>
    <w:rsid w:val="00C26F57"/>
    <w:rsid w:val="00C2747F"/>
    <w:rsid w:val="00C307AD"/>
    <w:rsid w:val="00C30A28"/>
    <w:rsid w:val="00C31F63"/>
    <w:rsid w:val="00C35CEF"/>
    <w:rsid w:val="00C42969"/>
    <w:rsid w:val="00C42F7A"/>
    <w:rsid w:val="00C430A6"/>
    <w:rsid w:val="00C46D43"/>
    <w:rsid w:val="00C474B4"/>
    <w:rsid w:val="00C508B3"/>
    <w:rsid w:val="00C54ABA"/>
    <w:rsid w:val="00C5532A"/>
    <w:rsid w:val="00C561AC"/>
    <w:rsid w:val="00C57F0E"/>
    <w:rsid w:val="00C6122D"/>
    <w:rsid w:val="00C615BA"/>
    <w:rsid w:val="00C62547"/>
    <w:rsid w:val="00C63A9B"/>
    <w:rsid w:val="00C66A10"/>
    <w:rsid w:val="00C71B0E"/>
    <w:rsid w:val="00C73050"/>
    <w:rsid w:val="00C745CB"/>
    <w:rsid w:val="00C76922"/>
    <w:rsid w:val="00C80036"/>
    <w:rsid w:val="00C8090B"/>
    <w:rsid w:val="00C8147D"/>
    <w:rsid w:val="00C81DAE"/>
    <w:rsid w:val="00C81FCE"/>
    <w:rsid w:val="00C85E0A"/>
    <w:rsid w:val="00C86903"/>
    <w:rsid w:val="00C86CA9"/>
    <w:rsid w:val="00C90914"/>
    <w:rsid w:val="00C919FD"/>
    <w:rsid w:val="00C9523C"/>
    <w:rsid w:val="00C95922"/>
    <w:rsid w:val="00C97998"/>
    <w:rsid w:val="00CA020B"/>
    <w:rsid w:val="00CA10D5"/>
    <w:rsid w:val="00CA136C"/>
    <w:rsid w:val="00CA342F"/>
    <w:rsid w:val="00CA606F"/>
    <w:rsid w:val="00CA6210"/>
    <w:rsid w:val="00CB39AC"/>
    <w:rsid w:val="00CB3F5F"/>
    <w:rsid w:val="00CB6F48"/>
    <w:rsid w:val="00CB6FC9"/>
    <w:rsid w:val="00CB7B26"/>
    <w:rsid w:val="00CC39A1"/>
    <w:rsid w:val="00CC58CC"/>
    <w:rsid w:val="00CD04FC"/>
    <w:rsid w:val="00CD2CE6"/>
    <w:rsid w:val="00CD3284"/>
    <w:rsid w:val="00CD3E03"/>
    <w:rsid w:val="00CD3E51"/>
    <w:rsid w:val="00CD45AB"/>
    <w:rsid w:val="00CD60D9"/>
    <w:rsid w:val="00CD724C"/>
    <w:rsid w:val="00CD7DB2"/>
    <w:rsid w:val="00CE0422"/>
    <w:rsid w:val="00CE09F3"/>
    <w:rsid w:val="00CE2135"/>
    <w:rsid w:val="00CE50CC"/>
    <w:rsid w:val="00CE76B8"/>
    <w:rsid w:val="00CE7A94"/>
    <w:rsid w:val="00CE7B75"/>
    <w:rsid w:val="00CE7BBE"/>
    <w:rsid w:val="00CF1762"/>
    <w:rsid w:val="00CF23F3"/>
    <w:rsid w:val="00CF33C4"/>
    <w:rsid w:val="00CF4408"/>
    <w:rsid w:val="00CF47B4"/>
    <w:rsid w:val="00CF5E77"/>
    <w:rsid w:val="00CF68DF"/>
    <w:rsid w:val="00CF7C60"/>
    <w:rsid w:val="00D01AF7"/>
    <w:rsid w:val="00D021C3"/>
    <w:rsid w:val="00D02680"/>
    <w:rsid w:val="00D02F2A"/>
    <w:rsid w:val="00D031A9"/>
    <w:rsid w:val="00D03CAE"/>
    <w:rsid w:val="00D04C75"/>
    <w:rsid w:val="00D04EC2"/>
    <w:rsid w:val="00D12782"/>
    <w:rsid w:val="00D15D09"/>
    <w:rsid w:val="00D165C0"/>
    <w:rsid w:val="00D16BDF"/>
    <w:rsid w:val="00D17359"/>
    <w:rsid w:val="00D1758A"/>
    <w:rsid w:val="00D20CE2"/>
    <w:rsid w:val="00D21C64"/>
    <w:rsid w:val="00D2540C"/>
    <w:rsid w:val="00D318E5"/>
    <w:rsid w:val="00D333BC"/>
    <w:rsid w:val="00D33A2B"/>
    <w:rsid w:val="00D349C4"/>
    <w:rsid w:val="00D376C3"/>
    <w:rsid w:val="00D378B8"/>
    <w:rsid w:val="00D41894"/>
    <w:rsid w:val="00D41B9B"/>
    <w:rsid w:val="00D43B31"/>
    <w:rsid w:val="00D4425D"/>
    <w:rsid w:val="00D44601"/>
    <w:rsid w:val="00D44724"/>
    <w:rsid w:val="00D45603"/>
    <w:rsid w:val="00D46A14"/>
    <w:rsid w:val="00D47D3F"/>
    <w:rsid w:val="00D50F17"/>
    <w:rsid w:val="00D518D8"/>
    <w:rsid w:val="00D521E7"/>
    <w:rsid w:val="00D53A17"/>
    <w:rsid w:val="00D54C32"/>
    <w:rsid w:val="00D55072"/>
    <w:rsid w:val="00D622EA"/>
    <w:rsid w:val="00D6439F"/>
    <w:rsid w:val="00D659B9"/>
    <w:rsid w:val="00D67D2D"/>
    <w:rsid w:val="00D71785"/>
    <w:rsid w:val="00D772F6"/>
    <w:rsid w:val="00D810C3"/>
    <w:rsid w:val="00D82240"/>
    <w:rsid w:val="00D8461A"/>
    <w:rsid w:val="00D93479"/>
    <w:rsid w:val="00D958B6"/>
    <w:rsid w:val="00D96EC4"/>
    <w:rsid w:val="00D97A97"/>
    <w:rsid w:val="00DA0C3F"/>
    <w:rsid w:val="00DA148A"/>
    <w:rsid w:val="00DA2A49"/>
    <w:rsid w:val="00DA3467"/>
    <w:rsid w:val="00DA43FD"/>
    <w:rsid w:val="00DA46C1"/>
    <w:rsid w:val="00DA476E"/>
    <w:rsid w:val="00DB25B3"/>
    <w:rsid w:val="00DB2E9E"/>
    <w:rsid w:val="00DB479A"/>
    <w:rsid w:val="00DB60BE"/>
    <w:rsid w:val="00DB61BF"/>
    <w:rsid w:val="00DC0C17"/>
    <w:rsid w:val="00DC1355"/>
    <w:rsid w:val="00DC1398"/>
    <w:rsid w:val="00DC2252"/>
    <w:rsid w:val="00DC2B92"/>
    <w:rsid w:val="00DC40F2"/>
    <w:rsid w:val="00DC6641"/>
    <w:rsid w:val="00DD214B"/>
    <w:rsid w:val="00DD3BA4"/>
    <w:rsid w:val="00DD4925"/>
    <w:rsid w:val="00DD500B"/>
    <w:rsid w:val="00DE0FFB"/>
    <w:rsid w:val="00DE1F7D"/>
    <w:rsid w:val="00DE3C90"/>
    <w:rsid w:val="00DE3FE2"/>
    <w:rsid w:val="00DE5611"/>
    <w:rsid w:val="00DF0215"/>
    <w:rsid w:val="00DF35BC"/>
    <w:rsid w:val="00DF56D1"/>
    <w:rsid w:val="00DF6901"/>
    <w:rsid w:val="00E00A32"/>
    <w:rsid w:val="00E01ADD"/>
    <w:rsid w:val="00E03C39"/>
    <w:rsid w:val="00E042B1"/>
    <w:rsid w:val="00E056FF"/>
    <w:rsid w:val="00E06B49"/>
    <w:rsid w:val="00E104E5"/>
    <w:rsid w:val="00E1231D"/>
    <w:rsid w:val="00E12694"/>
    <w:rsid w:val="00E12B2F"/>
    <w:rsid w:val="00E153F5"/>
    <w:rsid w:val="00E17A10"/>
    <w:rsid w:val="00E24F10"/>
    <w:rsid w:val="00E2691B"/>
    <w:rsid w:val="00E26FC4"/>
    <w:rsid w:val="00E3029C"/>
    <w:rsid w:val="00E31606"/>
    <w:rsid w:val="00E320A5"/>
    <w:rsid w:val="00E33226"/>
    <w:rsid w:val="00E344A6"/>
    <w:rsid w:val="00E34E78"/>
    <w:rsid w:val="00E35B39"/>
    <w:rsid w:val="00E35E47"/>
    <w:rsid w:val="00E416F1"/>
    <w:rsid w:val="00E41C16"/>
    <w:rsid w:val="00E428FD"/>
    <w:rsid w:val="00E4316B"/>
    <w:rsid w:val="00E4376F"/>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41D0"/>
    <w:rsid w:val="00E65EDB"/>
    <w:rsid w:val="00E66819"/>
    <w:rsid w:val="00E67070"/>
    <w:rsid w:val="00E7099C"/>
    <w:rsid w:val="00E722C4"/>
    <w:rsid w:val="00E72564"/>
    <w:rsid w:val="00E72A90"/>
    <w:rsid w:val="00E73EA6"/>
    <w:rsid w:val="00E747C0"/>
    <w:rsid w:val="00E761CC"/>
    <w:rsid w:val="00E81F40"/>
    <w:rsid w:val="00E82C29"/>
    <w:rsid w:val="00E8414B"/>
    <w:rsid w:val="00E84C86"/>
    <w:rsid w:val="00E903A9"/>
    <w:rsid w:val="00E90F77"/>
    <w:rsid w:val="00E97F2D"/>
    <w:rsid w:val="00EA2C15"/>
    <w:rsid w:val="00EA6D04"/>
    <w:rsid w:val="00EB066B"/>
    <w:rsid w:val="00EB0DC3"/>
    <w:rsid w:val="00EB3CBF"/>
    <w:rsid w:val="00EB3EB6"/>
    <w:rsid w:val="00EB7F67"/>
    <w:rsid w:val="00EC08F6"/>
    <w:rsid w:val="00EC4E20"/>
    <w:rsid w:val="00EC4FFB"/>
    <w:rsid w:val="00EC5E7E"/>
    <w:rsid w:val="00EC7546"/>
    <w:rsid w:val="00EC7BCC"/>
    <w:rsid w:val="00ED045F"/>
    <w:rsid w:val="00ED1384"/>
    <w:rsid w:val="00ED4F03"/>
    <w:rsid w:val="00ED4F4A"/>
    <w:rsid w:val="00ED5D62"/>
    <w:rsid w:val="00EE00A9"/>
    <w:rsid w:val="00EE39C9"/>
    <w:rsid w:val="00EE52FC"/>
    <w:rsid w:val="00EE5999"/>
    <w:rsid w:val="00EF5E99"/>
    <w:rsid w:val="00EF66FC"/>
    <w:rsid w:val="00F0093D"/>
    <w:rsid w:val="00F00B14"/>
    <w:rsid w:val="00F03F27"/>
    <w:rsid w:val="00F04BB5"/>
    <w:rsid w:val="00F062A9"/>
    <w:rsid w:val="00F119C7"/>
    <w:rsid w:val="00F11A50"/>
    <w:rsid w:val="00F11C2F"/>
    <w:rsid w:val="00F136BD"/>
    <w:rsid w:val="00F15DE6"/>
    <w:rsid w:val="00F16BDB"/>
    <w:rsid w:val="00F173EE"/>
    <w:rsid w:val="00F1778F"/>
    <w:rsid w:val="00F21BE3"/>
    <w:rsid w:val="00F24A2B"/>
    <w:rsid w:val="00F25C76"/>
    <w:rsid w:val="00F2611E"/>
    <w:rsid w:val="00F271A2"/>
    <w:rsid w:val="00F27ED6"/>
    <w:rsid w:val="00F303C2"/>
    <w:rsid w:val="00F31EC7"/>
    <w:rsid w:val="00F31FAC"/>
    <w:rsid w:val="00F33757"/>
    <w:rsid w:val="00F3514A"/>
    <w:rsid w:val="00F36489"/>
    <w:rsid w:val="00F36C0A"/>
    <w:rsid w:val="00F37B8B"/>
    <w:rsid w:val="00F4105E"/>
    <w:rsid w:val="00F42029"/>
    <w:rsid w:val="00F43D81"/>
    <w:rsid w:val="00F44661"/>
    <w:rsid w:val="00F45EFC"/>
    <w:rsid w:val="00F4750D"/>
    <w:rsid w:val="00F47705"/>
    <w:rsid w:val="00F51212"/>
    <w:rsid w:val="00F529D4"/>
    <w:rsid w:val="00F54834"/>
    <w:rsid w:val="00F5743F"/>
    <w:rsid w:val="00F61259"/>
    <w:rsid w:val="00F619F0"/>
    <w:rsid w:val="00F621A8"/>
    <w:rsid w:val="00F62AF2"/>
    <w:rsid w:val="00F63C6F"/>
    <w:rsid w:val="00F65F5E"/>
    <w:rsid w:val="00F67EAC"/>
    <w:rsid w:val="00F723BA"/>
    <w:rsid w:val="00F73920"/>
    <w:rsid w:val="00F73C75"/>
    <w:rsid w:val="00F747C2"/>
    <w:rsid w:val="00F757F6"/>
    <w:rsid w:val="00F75F29"/>
    <w:rsid w:val="00F77108"/>
    <w:rsid w:val="00F80B39"/>
    <w:rsid w:val="00F83815"/>
    <w:rsid w:val="00F84EE7"/>
    <w:rsid w:val="00F85C7F"/>
    <w:rsid w:val="00F86278"/>
    <w:rsid w:val="00F8640F"/>
    <w:rsid w:val="00F949DC"/>
    <w:rsid w:val="00F95268"/>
    <w:rsid w:val="00F97763"/>
    <w:rsid w:val="00F97E15"/>
    <w:rsid w:val="00FA31F6"/>
    <w:rsid w:val="00FA5657"/>
    <w:rsid w:val="00FA6C37"/>
    <w:rsid w:val="00FB295B"/>
    <w:rsid w:val="00FB2E24"/>
    <w:rsid w:val="00FB333E"/>
    <w:rsid w:val="00FB4B07"/>
    <w:rsid w:val="00FB559D"/>
    <w:rsid w:val="00FB55A1"/>
    <w:rsid w:val="00FB5F87"/>
    <w:rsid w:val="00FB706C"/>
    <w:rsid w:val="00FC1714"/>
    <w:rsid w:val="00FC263B"/>
    <w:rsid w:val="00FC3AA2"/>
    <w:rsid w:val="00FC4C8C"/>
    <w:rsid w:val="00FC5505"/>
    <w:rsid w:val="00FC6D52"/>
    <w:rsid w:val="00FC6D63"/>
    <w:rsid w:val="00FD0863"/>
    <w:rsid w:val="00FD14E9"/>
    <w:rsid w:val="00FD1A5E"/>
    <w:rsid w:val="00FD3D13"/>
    <w:rsid w:val="00FD45F9"/>
    <w:rsid w:val="00FD55A8"/>
    <w:rsid w:val="00FE0B94"/>
    <w:rsid w:val="00FE0CDB"/>
    <w:rsid w:val="00FE2127"/>
    <w:rsid w:val="00FE2564"/>
    <w:rsid w:val="00FE2B70"/>
    <w:rsid w:val="00FE6AB5"/>
    <w:rsid w:val="00FE7F70"/>
    <w:rsid w:val="00FF6094"/>
    <w:rsid w:val="00FF6230"/>
    <w:rsid w:val="00FF6288"/>
    <w:rsid w:val="00FF7B0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87FC48"/>
  <w14:defaultImageDpi w14:val="300"/>
  <w15:docId w15:val="{BD99431E-3367-469E-917B-B27CEB1BD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F77"/>
    <w:pPr>
      <w:spacing w:after="160" w:line="278" w:lineRule="auto"/>
    </w:pPr>
    <w:rPr>
      <w:rFonts w:eastAsiaTheme="minorHAnsi"/>
      <w:kern w:val="2"/>
      <w14:ligatures w14:val="standardContextual"/>
    </w:rPr>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styleId="PargrafodaLista">
    <w:name w:val="List Paragraph"/>
    <w:basedOn w:val="Normal"/>
    <w:uiPriority w:val="34"/>
    <w:qFormat/>
    <w:rsid w:val="001E4D99"/>
    <w:pPr>
      <w:spacing w:after="0" w:line="240" w:lineRule="auto"/>
      <w:ind w:left="720"/>
      <w:contextualSpacing/>
    </w:pPr>
    <w:rPr>
      <w:rFonts w:eastAsiaTheme="minorEastAsi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62223134">
      <w:bodyDiv w:val="1"/>
      <w:marLeft w:val="0"/>
      <w:marRight w:val="0"/>
      <w:marTop w:val="0"/>
      <w:marBottom w:val="0"/>
      <w:divBdr>
        <w:top w:val="none" w:sz="0" w:space="0" w:color="auto"/>
        <w:left w:val="none" w:sz="0" w:space="0" w:color="auto"/>
        <w:bottom w:val="none" w:sz="0" w:space="0" w:color="auto"/>
        <w:right w:val="none" w:sz="0" w:space="0" w:color="auto"/>
      </w:divBdr>
    </w:div>
    <w:div w:id="96609649">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40649689">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282735551">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3639787">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163111">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lliane.eliziario@personalpress.jor.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OneDrive\Documentos\Orquestra%20Filarm&#244;nica\2025\T2025_Timbrado-3_co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CD4A8-E722-6B4F-AA25-C2151099E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T2025_Timbrado-3_cor</Template>
  <TotalTime>5</TotalTime>
  <Pages>4</Pages>
  <Words>1226</Words>
  <Characters>6626</Characters>
  <Application>Microsoft Office Word</Application>
  <DocSecurity>0</DocSecurity>
  <Lines>55</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Polliane Eliziário</cp:lastModifiedBy>
  <cp:revision>23</cp:revision>
  <dcterms:created xsi:type="dcterms:W3CDTF">2025-04-16T18:56:00Z</dcterms:created>
  <dcterms:modified xsi:type="dcterms:W3CDTF">2025-04-16T19:00:00Z</dcterms:modified>
</cp:coreProperties>
</file>